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B30E2" w14:textId="77777777" w:rsidR="00E049BA" w:rsidRDefault="002C06ED">
      <w:pPr>
        <w:pStyle w:val="Heading2"/>
        <w:rPr>
          <w:rFonts w:ascii="Calibri" w:hAnsi="Calibri"/>
          <w:i w:val="0"/>
        </w:rPr>
      </w:pPr>
      <w:r>
        <w:rPr>
          <w:rFonts w:ascii="Calibri" w:hAnsi="Calibri"/>
          <w:i w:val="0"/>
        </w:rPr>
        <w:t>CR-05 - Goals and Outcomes</w:t>
      </w:r>
    </w:p>
    <w:p w14:paraId="721F12CF" w14:textId="77777777" w:rsidR="00E049BA" w:rsidRDefault="002C06ED">
      <w:pPr>
        <w:keepNext/>
        <w:widowControl w:val="0"/>
        <w:spacing w:after="0" w:line="240" w:lineRule="auto"/>
        <w:rPr>
          <w:b/>
          <w:sz w:val="28"/>
          <w:szCs w:val="28"/>
        </w:rPr>
      </w:pPr>
      <w:r>
        <w:rPr>
          <w:b/>
          <w:sz w:val="24"/>
          <w:szCs w:val="24"/>
        </w:rPr>
        <w:t>Progress the jurisdiction has made in carrying out its strategic plan and its action plan.  91.520(a)</w:t>
      </w:r>
      <w:r>
        <w:rPr>
          <w:b/>
          <w:sz w:val="28"/>
          <w:szCs w:val="28"/>
        </w:rPr>
        <w:t xml:space="preserve"> </w:t>
      </w:r>
    </w:p>
    <w:p w14:paraId="2D217EB2" w14:textId="77777777" w:rsidR="00E049BA" w:rsidRDefault="002C06ED">
      <w:pPr>
        <w:keepNext/>
        <w:widowControl w:val="0"/>
        <w:spacing w:after="0" w:line="240" w:lineRule="auto"/>
      </w:pPr>
      <w:r>
        <w:t>This could be an overview that includes major initiatives and highlights that were proposed and executed throughout the program year.</w:t>
      </w:r>
    </w:p>
    <w:p w14:paraId="790630ED" w14:textId="77777777" w:rsidR="00E049BA" w:rsidRDefault="00E049BA">
      <w:pPr>
        <w:keepNext/>
        <w:widowControl w:val="0"/>
        <w:spacing w:after="0" w:line="240" w:lineRule="auto"/>
        <w:rPr>
          <w:b/>
        </w:rPr>
      </w:pPr>
    </w:p>
    <w:p w14:paraId="7D8FF220" w14:textId="77777777" w:rsidR="00E049BA" w:rsidRDefault="002C06ED">
      <w:pPr>
        <w:widowControl w:val="0"/>
        <w:spacing w:beforeAutospacing="1" w:afterAutospacing="1"/>
        <w:rPr>
          <w:szCs w:val="24"/>
        </w:rPr>
      </w:pPr>
      <w:r>
        <w:rPr>
          <w:b/>
        </w:rPr>
        <w:t>CAPER Executive Summary: Program Year 2024</w:t>
      </w:r>
      <w:r>
        <w:br/>
      </w:r>
      <w:r>
        <w:rPr>
          <w:b/>
        </w:rPr>
        <w:t>Jurisdiction: City of Cranston, Rhode Island</w:t>
      </w:r>
      <w:r>
        <w:br/>
      </w:r>
      <w:r>
        <w:rPr>
          <w:b/>
        </w:rPr>
        <w:t>Program Covered: Community Development Block Grant (CDBG)</w:t>
      </w:r>
    </w:p>
    <w:p w14:paraId="1648A38C" w14:textId="77777777" w:rsidR="00E049BA" w:rsidRDefault="002C06ED">
      <w:pPr>
        <w:widowControl w:val="0"/>
        <w:spacing w:beforeAutospacing="1" w:afterAutospacing="1"/>
        <w:rPr>
          <w:szCs w:val="24"/>
        </w:rPr>
      </w:pPr>
      <w:r>
        <w:t>The City of Cranston is pleased to present a DRAFT of its Consolidated Annual Performance and Evaluation Report (CAPER) for Program Year 2024 (July 1, 2024 – June 30, 2025). This report highlights the City’s accomplishments under the Community Development Block Grant (CDBG) program, as funded by the U.S. Department of Housing and Urban Development (HUD).</w:t>
      </w:r>
    </w:p>
    <w:p w14:paraId="7BB6F751" w14:textId="77777777" w:rsidR="00E049BA" w:rsidRDefault="002C06ED">
      <w:pPr>
        <w:widowControl w:val="0"/>
        <w:spacing w:beforeAutospacing="1" w:afterAutospacing="1"/>
        <w:rPr>
          <w:szCs w:val="24"/>
        </w:rPr>
      </w:pPr>
      <w:r>
        <w:t>Cranston continued to use CDBG funds strategically to address the needs of low- and moderate-income residents, support community-based organizations, and invest in neighborhood infrastructure. The city remains committed to expanding opportunity, promoting equity, and enhancing the quality of life for all Cranston residents, particularly the most vulnerable.</w:t>
      </w:r>
    </w:p>
    <w:p w14:paraId="353AC6E0" w14:textId="77777777" w:rsidR="00E049BA" w:rsidRDefault="00E049BA">
      <w:pPr>
        <w:widowControl w:val="0"/>
        <w:spacing w:beforeAutospacing="1" w:afterAutospacing="1"/>
        <w:rPr>
          <w:szCs w:val="24"/>
        </w:rPr>
      </w:pPr>
    </w:p>
    <w:p w14:paraId="2AEC614F" w14:textId="77777777" w:rsidR="00E049BA" w:rsidRDefault="002C06ED">
      <w:pPr>
        <w:widowControl w:val="0"/>
        <w:spacing w:beforeAutospacing="1" w:afterAutospacing="1"/>
        <w:rPr>
          <w:szCs w:val="24"/>
        </w:rPr>
      </w:pPr>
      <w:r>
        <w:rPr>
          <w:b/>
        </w:rPr>
        <w:t>Key Accomplishments</w:t>
      </w:r>
    </w:p>
    <w:p w14:paraId="495DD6AF" w14:textId="77777777" w:rsidR="00E049BA" w:rsidRDefault="002C06ED">
      <w:pPr>
        <w:widowControl w:val="0"/>
        <w:spacing w:beforeAutospacing="1" w:afterAutospacing="1"/>
        <w:rPr>
          <w:szCs w:val="24"/>
        </w:rPr>
      </w:pPr>
      <w:r>
        <w:rPr>
          <w:b/>
        </w:rPr>
        <w:t>1. Public Services Support</w:t>
      </w:r>
    </w:p>
    <w:p w14:paraId="3001E040" w14:textId="77777777" w:rsidR="00E049BA" w:rsidRDefault="002C06ED">
      <w:pPr>
        <w:widowControl w:val="0"/>
        <w:spacing w:beforeAutospacing="1" w:afterAutospacing="1"/>
        <w:rPr>
          <w:szCs w:val="24"/>
        </w:rPr>
      </w:pPr>
      <w:r>
        <w:br/>
        <w:t>CDBG funds supported vital social service programs, reaching over 2,000 low- and moderate-income residents. Funded agencies provided services such as:</w:t>
      </w:r>
    </w:p>
    <w:p w14:paraId="5304C793" w14:textId="77777777" w:rsidR="00E049BA" w:rsidRDefault="002C06ED">
      <w:pPr>
        <w:widowControl w:val="0"/>
        <w:spacing w:beforeAutospacing="1" w:afterAutospacing="1"/>
        <w:rPr>
          <w:szCs w:val="24"/>
        </w:rPr>
      </w:pPr>
      <w:r>
        <w:t>• Emergency heating fuel assistance</w:t>
      </w:r>
      <w:r>
        <w:br/>
        <w:t>• Food</w:t>
      </w:r>
      <w:r>
        <w:br/>
        <w:t>• Educational Scholarships</w:t>
      </w:r>
      <w:r>
        <w:br/>
      </w:r>
      <w:r>
        <w:lastRenderedPageBreak/>
        <w:t>• Rental Assistance</w:t>
      </w:r>
      <w:r>
        <w:br/>
        <w:t>• Domestic violence support services</w:t>
      </w:r>
      <w:r>
        <w:br/>
        <w:t>• Physically disabled adults</w:t>
      </w:r>
      <w:r>
        <w:br/>
        <w:t>• Senior wellness programming</w:t>
      </w:r>
    </w:p>
    <w:p w14:paraId="79692173" w14:textId="77777777" w:rsidR="00E049BA" w:rsidRDefault="00E049BA">
      <w:pPr>
        <w:widowControl w:val="0"/>
        <w:spacing w:beforeAutospacing="1" w:afterAutospacing="1"/>
        <w:rPr>
          <w:szCs w:val="24"/>
        </w:rPr>
      </w:pPr>
    </w:p>
    <w:p w14:paraId="51352AD1" w14:textId="77777777" w:rsidR="00E049BA" w:rsidRDefault="002C06ED">
      <w:pPr>
        <w:widowControl w:val="0"/>
        <w:spacing w:beforeAutospacing="1" w:afterAutospacing="1"/>
        <w:rPr>
          <w:szCs w:val="24"/>
        </w:rPr>
      </w:pPr>
      <w:r>
        <w:rPr>
          <w:b/>
        </w:rPr>
        <w:t>2. Housing Rehabilitation Assistance</w:t>
      </w:r>
    </w:p>
    <w:p w14:paraId="7FB87F72" w14:textId="77777777" w:rsidR="00E049BA" w:rsidRDefault="002C06ED">
      <w:pPr>
        <w:widowControl w:val="0"/>
        <w:spacing w:beforeAutospacing="1" w:afterAutospacing="1"/>
        <w:rPr>
          <w:szCs w:val="24"/>
        </w:rPr>
      </w:pPr>
      <w:r>
        <w:t xml:space="preserve">Cranston continued its long-standing </w:t>
      </w:r>
      <w:proofErr w:type="gramStart"/>
      <w:r>
        <w:t>Owner Occupied</w:t>
      </w:r>
      <w:proofErr w:type="gramEnd"/>
      <w:r>
        <w:t xml:space="preserve"> Housing Rehabilitation Program:</w:t>
      </w:r>
    </w:p>
    <w:p w14:paraId="63FE2B5A" w14:textId="77777777" w:rsidR="00E049BA" w:rsidRDefault="002C06ED">
      <w:pPr>
        <w:widowControl w:val="0"/>
        <w:spacing w:beforeAutospacing="1" w:afterAutospacing="1"/>
        <w:rPr>
          <w:szCs w:val="24"/>
        </w:rPr>
      </w:pPr>
      <w:r>
        <w:t>• Assisted 10 low to moderate income households with critical repairs, including roof replacement, heating system upgrades, and accessibility modifications.</w:t>
      </w:r>
      <w:r>
        <w:br/>
        <w:t>• Where applicable the city prioritized seniors &amp; people with disabilities to support aging in place and code compliance.</w:t>
      </w:r>
    </w:p>
    <w:p w14:paraId="28D20E1D" w14:textId="77777777" w:rsidR="00E049BA" w:rsidRDefault="002C06ED">
      <w:pPr>
        <w:widowControl w:val="0"/>
        <w:spacing w:beforeAutospacing="1" w:afterAutospacing="1"/>
        <w:rPr>
          <w:szCs w:val="24"/>
        </w:rPr>
      </w:pPr>
      <w:r>
        <w:rPr>
          <w:b/>
        </w:rPr>
        <w:t>3. Affordable Housing Acquisition</w:t>
      </w:r>
    </w:p>
    <w:p w14:paraId="1D743006" w14:textId="77777777" w:rsidR="00E049BA" w:rsidRDefault="002C06ED">
      <w:pPr>
        <w:widowControl w:val="0"/>
        <w:spacing w:beforeAutospacing="1" w:afterAutospacing="1"/>
        <w:rPr>
          <w:szCs w:val="24"/>
        </w:rPr>
      </w:pPr>
      <w:r>
        <w:t>During 2023, Cranston purchased a home and rehabilitated it. In 2024, house was sold to an income eligible family, a widow and her young son.</w:t>
      </w:r>
    </w:p>
    <w:p w14:paraId="0D632695" w14:textId="77777777" w:rsidR="00E049BA" w:rsidRDefault="002C06ED">
      <w:pPr>
        <w:widowControl w:val="0"/>
        <w:spacing w:beforeAutospacing="1" w:afterAutospacing="1"/>
        <w:rPr>
          <w:szCs w:val="24"/>
        </w:rPr>
      </w:pPr>
      <w:r>
        <w:rPr>
          <w:b/>
        </w:rPr>
        <w:t>4. Neighborhood Improvements and Infrastructure</w:t>
      </w:r>
    </w:p>
    <w:p w14:paraId="2FCBD1C9" w14:textId="77777777" w:rsidR="00E049BA" w:rsidRDefault="002C06ED">
      <w:pPr>
        <w:widowControl w:val="0"/>
        <w:spacing w:beforeAutospacing="1" w:afterAutospacing="1"/>
        <w:rPr>
          <w:szCs w:val="24"/>
        </w:rPr>
      </w:pPr>
      <w:r>
        <w:t>Investments were made in public infrastructure in eligible census tracts, including:</w:t>
      </w:r>
      <w:r>
        <w:br/>
        <w:t>• Street repaving repairs on Peerless Street and Cresent Avenue in the Cranston Stadium neighborhood.</w:t>
      </w:r>
    </w:p>
    <w:p w14:paraId="393BD394" w14:textId="77777777" w:rsidR="00E049BA" w:rsidRDefault="002C06ED">
      <w:pPr>
        <w:widowControl w:val="0"/>
        <w:spacing w:beforeAutospacing="1" w:afterAutospacing="1"/>
        <w:rPr>
          <w:szCs w:val="24"/>
        </w:rPr>
      </w:pPr>
      <w:r>
        <w:rPr>
          <w:b/>
        </w:rPr>
        <w:t>Program Administration and Community Engagement</w:t>
      </w:r>
    </w:p>
    <w:p w14:paraId="47309A26" w14:textId="77777777" w:rsidR="00E049BA" w:rsidRDefault="002C06ED">
      <w:pPr>
        <w:widowControl w:val="0"/>
        <w:spacing w:beforeAutospacing="1" w:afterAutospacing="1"/>
        <w:rPr>
          <w:szCs w:val="24"/>
        </w:rPr>
      </w:pPr>
      <w:r>
        <w:t>The city ensured compliance with HUD regulatory requirements. CDBG administrative funds supported effective program oversight &amp; the maintenance of the Integrated Disbursement and Information System (IDIS).</w:t>
      </w:r>
    </w:p>
    <w:p w14:paraId="2E96854A" w14:textId="77777777" w:rsidR="00E049BA" w:rsidRDefault="002C06ED">
      <w:pPr>
        <w:widowControl w:val="0"/>
        <w:spacing w:beforeAutospacing="1" w:afterAutospacing="1"/>
        <w:rPr>
          <w:szCs w:val="24"/>
        </w:rPr>
      </w:pPr>
      <w:r>
        <w:t xml:space="preserve">Cranston continued to engage residents through public </w:t>
      </w:r>
      <w:proofErr w:type="gramStart"/>
      <w:r>
        <w:t>hearings</w:t>
      </w:r>
      <w:proofErr w:type="gramEnd"/>
      <w:r>
        <w:t xml:space="preserve"> &amp; online comment opportunities which help guide priorities for infrastructure, housing, and public services.</w:t>
      </w:r>
    </w:p>
    <w:p w14:paraId="5F84276C" w14:textId="77777777" w:rsidR="00E049BA" w:rsidRDefault="00E049BA">
      <w:pPr>
        <w:widowControl w:val="0"/>
        <w:spacing w:beforeAutospacing="1" w:afterAutospacing="1"/>
        <w:rPr>
          <w:szCs w:val="24"/>
        </w:rPr>
      </w:pPr>
    </w:p>
    <w:p w14:paraId="6BE93545" w14:textId="77777777" w:rsidR="00E049BA" w:rsidRDefault="002C06ED">
      <w:pPr>
        <w:widowControl w:val="0"/>
        <w:spacing w:beforeAutospacing="1" w:afterAutospacing="1"/>
        <w:rPr>
          <w:szCs w:val="24"/>
        </w:rPr>
      </w:pPr>
      <w:r>
        <w:rPr>
          <w:b/>
        </w:rPr>
        <w:t>Challenges and Lessons Learned</w:t>
      </w:r>
    </w:p>
    <w:p w14:paraId="6CAD8C81" w14:textId="77777777" w:rsidR="00E049BA" w:rsidRDefault="002C06ED">
      <w:pPr>
        <w:widowControl w:val="0"/>
        <w:spacing w:beforeAutospacing="1" w:afterAutospacing="1"/>
        <w:rPr>
          <w:szCs w:val="24"/>
        </w:rPr>
      </w:pPr>
      <w:r>
        <w:t>The city encountered a few challenges:</w:t>
      </w:r>
    </w:p>
    <w:p w14:paraId="58F41531" w14:textId="77777777" w:rsidR="00E049BA" w:rsidRDefault="002C06ED">
      <w:pPr>
        <w:widowControl w:val="0"/>
        <w:spacing w:beforeAutospacing="1" w:afterAutospacing="1"/>
        <w:rPr>
          <w:szCs w:val="24"/>
        </w:rPr>
      </w:pPr>
      <w:r>
        <w:t xml:space="preserve">• Unexpected retirement, an </w:t>
      </w:r>
      <w:proofErr w:type="spellStart"/>
      <w:r>
        <w:t>educactional</w:t>
      </w:r>
      <w:proofErr w:type="spellEnd"/>
      <w:r>
        <w:t xml:space="preserve"> learning curve, and Environmental Review </w:t>
      </w:r>
      <w:proofErr w:type="gramStart"/>
      <w:r>
        <w:t>approvals</w:t>
      </w:r>
      <w:proofErr w:type="gramEnd"/>
      <w:r>
        <w:t xml:space="preserve"> all of which </w:t>
      </w:r>
      <w:proofErr w:type="gramStart"/>
      <w:r>
        <w:t>impacted</w:t>
      </w:r>
      <w:proofErr w:type="gramEnd"/>
      <w:r>
        <w:t xml:space="preserve"> the pace of projects.</w:t>
      </w:r>
      <w:r>
        <w:br/>
        <w:t>• Rising construction &amp; labor costs limit the scope of work that could be completed with available funds.</w:t>
      </w:r>
      <w:r>
        <w:br/>
        <w:t>• Some community organizations experienced staffing turnover, leading to short-term service disruptions.</w:t>
      </w:r>
    </w:p>
    <w:p w14:paraId="26DDDB09" w14:textId="77777777" w:rsidR="00E049BA" w:rsidRDefault="002C06ED">
      <w:pPr>
        <w:widowControl w:val="0"/>
        <w:spacing w:beforeAutospacing="1" w:afterAutospacing="1"/>
        <w:rPr>
          <w:szCs w:val="24"/>
        </w:rPr>
      </w:pPr>
      <w:r>
        <w:t>To address these challenges, the city is continuously working to improve processes/controls, refine project timelines, and provide technical assistance to our subrecipients.</w:t>
      </w:r>
    </w:p>
    <w:p w14:paraId="2828A0C4" w14:textId="77777777" w:rsidR="00E049BA" w:rsidRDefault="00E049BA">
      <w:pPr>
        <w:widowControl w:val="0"/>
        <w:spacing w:beforeAutospacing="1" w:afterAutospacing="1"/>
        <w:rPr>
          <w:szCs w:val="24"/>
        </w:rPr>
      </w:pPr>
    </w:p>
    <w:p w14:paraId="39AC5765" w14:textId="77777777" w:rsidR="00E049BA" w:rsidRDefault="002C06ED">
      <w:pPr>
        <w:widowControl w:val="0"/>
        <w:spacing w:beforeAutospacing="1" w:afterAutospacing="1"/>
        <w:rPr>
          <w:szCs w:val="24"/>
        </w:rPr>
      </w:pPr>
      <w:r>
        <w:rPr>
          <w:b/>
        </w:rPr>
        <w:t>Looking Ahead</w:t>
      </w:r>
    </w:p>
    <w:p w14:paraId="23A18F84" w14:textId="77777777" w:rsidR="00E049BA" w:rsidRDefault="002C06ED">
      <w:pPr>
        <w:widowControl w:val="0"/>
        <w:spacing w:beforeAutospacing="1" w:afterAutospacing="1"/>
        <w:rPr>
          <w:szCs w:val="24"/>
        </w:rPr>
      </w:pPr>
      <w:r>
        <w:t>Cranston remains committed to the goals outlined in its 2025–2029 Consolidated Plan. Future programming will continue to focus on:</w:t>
      </w:r>
      <w:r>
        <w:br/>
      </w:r>
      <w:r>
        <w:br/>
      </w:r>
    </w:p>
    <w:p w14:paraId="080B7BEB" w14:textId="77777777" w:rsidR="00E049BA" w:rsidRDefault="002C06ED">
      <w:pPr>
        <w:widowControl w:val="0"/>
        <w:spacing w:beforeAutospacing="1" w:afterAutospacing="1"/>
        <w:rPr>
          <w:szCs w:val="24"/>
        </w:rPr>
      </w:pPr>
      <w:r>
        <w:t>• Preserving the existing housing stock </w:t>
      </w:r>
    </w:p>
    <w:p w14:paraId="3B9DAC5B" w14:textId="77777777" w:rsidR="00E049BA" w:rsidRDefault="002C06ED">
      <w:pPr>
        <w:widowControl w:val="0"/>
        <w:spacing w:beforeAutospacing="1" w:afterAutospacing="1"/>
        <w:rPr>
          <w:szCs w:val="24"/>
        </w:rPr>
      </w:pPr>
      <w:r>
        <w:t>• Supporting essential public services</w:t>
      </w:r>
    </w:p>
    <w:p w14:paraId="2AE9EB90" w14:textId="77777777" w:rsidR="00E049BA" w:rsidRDefault="002C06ED">
      <w:pPr>
        <w:widowControl w:val="0"/>
        <w:spacing w:beforeAutospacing="1" w:afterAutospacing="1"/>
        <w:rPr>
          <w:szCs w:val="24"/>
        </w:rPr>
      </w:pPr>
      <w:r>
        <w:t>• Revitalizing infrastructure in underserved neighborhoods</w:t>
      </w:r>
    </w:p>
    <w:p w14:paraId="6AFEB83F" w14:textId="77777777" w:rsidR="00E049BA" w:rsidRDefault="002C06ED">
      <w:pPr>
        <w:widowControl w:val="0"/>
        <w:spacing w:beforeAutospacing="1" w:afterAutospacing="1"/>
        <w:rPr>
          <w:szCs w:val="24"/>
        </w:rPr>
      </w:pPr>
      <w:r>
        <w:t>• Promoting equitable economic opportunity for small businesses</w:t>
      </w:r>
    </w:p>
    <w:p w14:paraId="48EF26EC" w14:textId="77777777" w:rsidR="00E049BA" w:rsidRDefault="002C06ED">
      <w:pPr>
        <w:keepNext/>
        <w:widowControl w:val="0"/>
        <w:spacing w:after="0" w:line="240" w:lineRule="auto"/>
        <w:rPr>
          <w:b/>
          <w:sz w:val="24"/>
          <w:szCs w:val="24"/>
        </w:rPr>
      </w:pPr>
      <w:r>
        <w:rPr>
          <w:b/>
          <w:sz w:val="24"/>
          <w:szCs w:val="24"/>
        </w:rPr>
        <w:lastRenderedPageBreak/>
        <w:t>Comparison of the proposed versus actual outcomes for each outcome measure submitted with the consolidated plan and explain, if applicable, why progress was not made toward meeting goals and objectives.  91.520(g)</w:t>
      </w:r>
    </w:p>
    <w:p w14:paraId="19B50414" w14:textId="77777777" w:rsidR="00E049BA" w:rsidRDefault="002C06ED">
      <w:pPr>
        <w:keepNext/>
        <w:widowControl w:val="0"/>
        <w:spacing w:after="0" w:line="240" w:lineRule="auto"/>
        <w:rPr>
          <w:szCs w:val="24"/>
        </w:rPr>
      </w:pPr>
      <w:r>
        <w:t>Categories, priority levels, funding sources and amounts, outcomes/objectives, goal outcome indicators, units of measure, targets, actual outcomes/outputs, and percentage completed for each of the grantee’s program year goals.</w:t>
      </w:r>
    </w:p>
    <w:p w14:paraId="506A2CA9" w14:textId="77777777" w:rsidR="00E049BA" w:rsidRDefault="00E049BA">
      <w:pPr>
        <w:widowControl w:val="0"/>
        <w:rPr>
          <w:b/>
          <w:sz w:val="24"/>
          <w:szCs w:val="24"/>
        </w:rPr>
      </w:pPr>
    </w:p>
    <w:tbl>
      <w:tblPr>
        <w:tblStyle w:val="TableGrid"/>
        <w:tblW w:w="13728" w:type="dxa"/>
        <w:tblInd w:w="0" w:type="dxa"/>
        <w:tblLook w:val="04A0" w:firstRow="1" w:lastRow="0" w:firstColumn="1" w:lastColumn="0" w:noHBand="0" w:noVBand="1"/>
      </w:tblPr>
      <w:tblGrid>
        <w:gridCol w:w="3605"/>
        <w:gridCol w:w="1427"/>
        <w:gridCol w:w="892"/>
        <w:gridCol w:w="1741"/>
        <w:gridCol w:w="1264"/>
        <w:gridCol w:w="975"/>
        <w:gridCol w:w="948"/>
        <w:gridCol w:w="1020"/>
        <w:gridCol w:w="975"/>
        <w:gridCol w:w="929"/>
        <w:gridCol w:w="1020"/>
      </w:tblGrid>
      <w:tr w:rsidR="00E049BA" w14:paraId="3DE71F08" w14:textId="77777777">
        <w:tc>
          <w:tcPr>
            <w:tcW w:w="1248" w:type="dxa"/>
          </w:tcPr>
          <w:p w14:paraId="14402E7B" w14:textId="77777777" w:rsidR="00E049BA" w:rsidRDefault="002C06ED">
            <w:pPr>
              <w:keepNext/>
              <w:widowControl w:val="0"/>
              <w:spacing w:after="0" w:line="240" w:lineRule="auto"/>
              <w:rPr>
                <w:b/>
              </w:rPr>
            </w:pPr>
            <w:r>
              <w:rPr>
                <w:b/>
              </w:rPr>
              <w:t>Goal</w:t>
            </w:r>
          </w:p>
        </w:tc>
        <w:tc>
          <w:tcPr>
            <w:tcW w:w="1248" w:type="dxa"/>
          </w:tcPr>
          <w:p w14:paraId="7D43EB6A" w14:textId="77777777" w:rsidR="00E049BA" w:rsidRDefault="002C06ED">
            <w:pPr>
              <w:keepNext/>
              <w:widowControl w:val="0"/>
              <w:spacing w:after="0" w:line="240" w:lineRule="auto"/>
              <w:rPr>
                <w:b/>
              </w:rPr>
            </w:pPr>
            <w:r>
              <w:rPr>
                <w:b/>
              </w:rPr>
              <w:t>Category</w:t>
            </w:r>
          </w:p>
        </w:tc>
        <w:tc>
          <w:tcPr>
            <w:tcW w:w="1248" w:type="dxa"/>
          </w:tcPr>
          <w:p w14:paraId="31AB2D55" w14:textId="77777777" w:rsidR="00E049BA" w:rsidRDefault="002C06ED">
            <w:pPr>
              <w:keepNext/>
              <w:widowControl w:val="0"/>
              <w:spacing w:after="0" w:line="240" w:lineRule="auto"/>
              <w:rPr>
                <w:b/>
              </w:rPr>
            </w:pPr>
            <w:r>
              <w:rPr>
                <w:b/>
              </w:rPr>
              <w:t>Source / Amount</w:t>
            </w:r>
          </w:p>
        </w:tc>
        <w:tc>
          <w:tcPr>
            <w:tcW w:w="1248" w:type="dxa"/>
          </w:tcPr>
          <w:p w14:paraId="0EF6D80B" w14:textId="77777777" w:rsidR="00E049BA" w:rsidRDefault="002C06ED">
            <w:pPr>
              <w:keepNext/>
              <w:widowControl w:val="0"/>
              <w:spacing w:after="0" w:line="240" w:lineRule="auto"/>
              <w:rPr>
                <w:b/>
              </w:rPr>
            </w:pPr>
            <w:r>
              <w:rPr>
                <w:b/>
              </w:rPr>
              <w:t>Indicator</w:t>
            </w:r>
          </w:p>
        </w:tc>
        <w:tc>
          <w:tcPr>
            <w:tcW w:w="1248" w:type="dxa"/>
          </w:tcPr>
          <w:p w14:paraId="2ECAE062" w14:textId="77777777" w:rsidR="00E049BA" w:rsidRDefault="002C06ED">
            <w:pPr>
              <w:keepNext/>
              <w:widowControl w:val="0"/>
              <w:spacing w:after="0" w:line="240" w:lineRule="auto"/>
              <w:rPr>
                <w:b/>
              </w:rPr>
            </w:pPr>
            <w:r>
              <w:rPr>
                <w:b/>
              </w:rPr>
              <w:t>Unit of Measure</w:t>
            </w:r>
          </w:p>
        </w:tc>
        <w:tc>
          <w:tcPr>
            <w:tcW w:w="1248" w:type="dxa"/>
          </w:tcPr>
          <w:p w14:paraId="380EE6E5" w14:textId="77777777" w:rsidR="00E049BA" w:rsidRDefault="002C06ED">
            <w:pPr>
              <w:keepNext/>
              <w:widowControl w:val="0"/>
              <w:spacing w:after="0" w:line="240" w:lineRule="auto"/>
              <w:rPr>
                <w:b/>
              </w:rPr>
            </w:pPr>
            <w:r>
              <w:rPr>
                <w:b/>
              </w:rPr>
              <w:t>Expected – Strategic Plan</w:t>
            </w:r>
          </w:p>
        </w:tc>
        <w:tc>
          <w:tcPr>
            <w:tcW w:w="1248" w:type="dxa"/>
          </w:tcPr>
          <w:p w14:paraId="2EBCAA1F" w14:textId="77777777" w:rsidR="00E049BA" w:rsidRDefault="002C06ED">
            <w:pPr>
              <w:keepNext/>
              <w:widowControl w:val="0"/>
              <w:spacing w:after="0" w:line="240" w:lineRule="auto"/>
              <w:rPr>
                <w:b/>
              </w:rPr>
            </w:pPr>
            <w:r>
              <w:rPr>
                <w:b/>
              </w:rPr>
              <w:t>Actual – Strategic Plan</w:t>
            </w:r>
          </w:p>
        </w:tc>
        <w:tc>
          <w:tcPr>
            <w:tcW w:w="1248" w:type="dxa"/>
          </w:tcPr>
          <w:p w14:paraId="16D73351" w14:textId="77777777" w:rsidR="00E049BA" w:rsidRDefault="002C06ED">
            <w:pPr>
              <w:keepNext/>
              <w:widowControl w:val="0"/>
              <w:spacing w:after="0" w:line="240" w:lineRule="auto"/>
              <w:rPr>
                <w:b/>
              </w:rPr>
            </w:pPr>
            <w:r>
              <w:rPr>
                <w:b/>
              </w:rPr>
              <w:t>Percent Complete</w:t>
            </w:r>
          </w:p>
        </w:tc>
        <w:tc>
          <w:tcPr>
            <w:tcW w:w="1248" w:type="dxa"/>
          </w:tcPr>
          <w:p w14:paraId="58D86BE9" w14:textId="77777777" w:rsidR="00E049BA" w:rsidRDefault="002C06ED">
            <w:pPr>
              <w:keepNext/>
              <w:widowControl w:val="0"/>
              <w:spacing w:after="0" w:line="240" w:lineRule="auto"/>
              <w:rPr>
                <w:b/>
              </w:rPr>
            </w:pPr>
            <w:r>
              <w:rPr>
                <w:b/>
              </w:rPr>
              <w:t>Expected – Program Year</w:t>
            </w:r>
          </w:p>
        </w:tc>
        <w:tc>
          <w:tcPr>
            <w:tcW w:w="1248" w:type="dxa"/>
          </w:tcPr>
          <w:p w14:paraId="01B0C069" w14:textId="77777777" w:rsidR="00E049BA" w:rsidRDefault="002C06ED">
            <w:pPr>
              <w:keepNext/>
              <w:widowControl w:val="0"/>
              <w:spacing w:after="0" w:line="240" w:lineRule="auto"/>
              <w:rPr>
                <w:b/>
              </w:rPr>
            </w:pPr>
            <w:r>
              <w:rPr>
                <w:b/>
              </w:rPr>
              <w:t>Actual – Program Year</w:t>
            </w:r>
          </w:p>
        </w:tc>
        <w:tc>
          <w:tcPr>
            <w:tcW w:w="1248" w:type="dxa"/>
          </w:tcPr>
          <w:p w14:paraId="74D22BCC" w14:textId="77777777" w:rsidR="00E049BA" w:rsidRDefault="002C06ED">
            <w:pPr>
              <w:keepNext/>
              <w:widowControl w:val="0"/>
              <w:spacing w:after="0" w:line="240" w:lineRule="auto"/>
              <w:rPr>
                <w:b/>
              </w:rPr>
            </w:pPr>
            <w:r>
              <w:rPr>
                <w:b/>
              </w:rPr>
              <w:t>Percent Complete</w:t>
            </w:r>
          </w:p>
        </w:tc>
      </w:tr>
      <w:tr w:rsidR="00E049BA" w14:paraId="1827BB1D" w14:textId="77777777">
        <w:trPr>
          <w:cantSplit/>
        </w:trPr>
        <w:tc>
          <w:tcPr>
            <w:tcW w:w="0" w:type="auto"/>
            <w:vAlign w:val="center"/>
          </w:tcPr>
          <w:p w14:paraId="669E524A" w14:textId="77777777" w:rsidR="00E049BA" w:rsidRDefault="002C06ED">
            <w:pPr>
              <w:spacing w:beforeAutospacing="1" w:afterAutospacing="1"/>
            </w:pPr>
            <w:r>
              <w:rPr>
                <w:color w:val="000000"/>
                <w:sz w:val="22"/>
              </w:rPr>
              <w:t>Acquisition for Rehabilitation</w:t>
            </w:r>
          </w:p>
        </w:tc>
        <w:tc>
          <w:tcPr>
            <w:tcW w:w="0" w:type="auto"/>
            <w:vAlign w:val="center"/>
          </w:tcPr>
          <w:p w14:paraId="62C7DFA9" w14:textId="77777777" w:rsidR="00E049BA" w:rsidRDefault="002C06ED">
            <w:pPr>
              <w:spacing w:beforeAutospacing="1" w:afterAutospacing="1"/>
            </w:pPr>
            <w:r>
              <w:rPr>
                <w:color w:val="000000"/>
                <w:sz w:val="22"/>
              </w:rPr>
              <w:t>Affordable Housing</w:t>
            </w:r>
          </w:p>
        </w:tc>
        <w:tc>
          <w:tcPr>
            <w:tcW w:w="0" w:type="auto"/>
            <w:vAlign w:val="center"/>
          </w:tcPr>
          <w:p w14:paraId="28DC3D1F" w14:textId="77777777" w:rsidR="00E049BA" w:rsidRDefault="002C06ED">
            <w:pPr>
              <w:spacing w:beforeAutospacing="1" w:afterAutospacing="1"/>
            </w:pPr>
            <w:r>
              <w:rPr>
                <w:color w:val="000000"/>
                <w:sz w:val="22"/>
              </w:rPr>
              <w:t>CDBG: $</w:t>
            </w:r>
          </w:p>
        </w:tc>
        <w:tc>
          <w:tcPr>
            <w:tcW w:w="0" w:type="auto"/>
            <w:vAlign w:val="center"/>
          </w:tcPr>
          <w:p w14:paraId="2421A93A" w14:textId="77777777" w:rsidR="00E049BA" w:rsidRDefault="002C06ED">
            <w:pPr>
              <w:spacing w:beforeAutospacing="1" w:afterAutospacing="1"/>
            </w:pPr>
            <w:r>
              <w:rPr>
                <w:color w:val="000000"/>
                <w:sz w:val="22"/>
              </w:rPr>
              <w:t>Homeowner Housing Rehabilitated</w:t>
            </w:r>
          </w:p>
        </w:tc>
        <w:tc>
          <w:tcPr>
            <w:tcW w:w="0" w:type="auto"/>
            <w:vAlign w:val="center"/>
          </w:tcPr>
          <w:p w14:paraId="3A65DD2E" w14:textId="77777777" w:rsidR="00E049BA" w:rsidRDefault="002C06ED">
            <w:pPr>
              <w:spacing w:beforeAutospacing="1" w:afterAutospacing="1"/>
            </w:pPr>
            <w:r>
              <w:rPr>
                <w:color w:val="000000"/>
                <w:sz w:val="22"/>
              </w:rPr>
              <w:t>Household Housing Unit</w:t>
            </w:r>
          </w:p>
        </w:tc>
        <w:tc>
          <w:tcPr>
            <w:tcW w:w="0" w:type="auto"/>
            <w:vAlign w:val="center"/>
          </w:tcPr>
          <w:p w14:paraId="70E2EFA5" w14:textId="77777777" w:rsidR="00E049BA" w:rsidRDefault="002C06ED">
            <w:pPr>
              <w:spacing w:beforeAutospacing="1" w:afterAutospacing="1"/>
            </w:pPr>
            <w:r>
              <w:rPr>
                <w:color w:val="000000"/>
                <w:sz w:val="22"/>
              </w:rPr>
              <w:t>5</w:t>
            </w:r>
          </w:p>
        </w:tc>
        <w:tc>
          <w:tcPr>
            <w:tcW w:w="0" w:type="auto"/>
            <w:vAlign w:val="center"/>
          </w:tcPr>
          <w:p w14:paraId="4D108726" w14:textId="77777777" w:rsidR="00E049BA" w:rsidRDefault="002C06ED">
            <w:pPr>
              <w:spacing w:beforeAutospacing="1" w:afterAutospacing="1"/>
            </w:pPr>
            <w:r>
              <w:rPr>
                <w:color w:val="000000"/>
                <w:sz w:val="22"/>
              </w:rPr>
              <w:t>1</w:t>
            </w:r>
          </w:p>
        </w:tc>
        <w:tc>
          <w:tcPr>
            <w:tcW w:w="0" w:type="auto"/>
            <w:vAlign w:val="center"/>
          </w:tcPr>
          <w:p w14:paraId="0E1DA08A" w14:textId="77777777" w:rsidR="00E049BA" w:rsidRDefault="002C06ED">
            <w:pPr>
              <w:spacing w:beforeAutospacing="1" w:afterAutospacing="1"/>
            </w:pPr>
            <w:r>
              <w:rPr>
                <w:color w:val="000000"/>
                <w:sz w:val="22"/>
              </w:rPr>
              <w:t xml:space="preserve">        20.00%</w:t>
            </w:r>
          </w:p>
        </w:tc>
        <w:tc>
          <w:tcPr>
            <w:tcW w:w="0" w:type="auto"/>
            <w:vAlign w:val="center"/>
          </w:tcPr>
          <w:p w14:paraId="21A4788B" w14:textId="77777777" w:rsidR="00E049BA" w:rsidRDefault="002C06ED">
            <w:pPr>
              <w:spacing w:beforeAutospacing="1" w:afterAutospacing="1"/>
            </w:pPr>
            <w:r>
              <w:rPr>
                <w:color w:val="000000"/>
                <w:sz w:val="22"/>
              </w:rPr>
              <w:t>1</w:t>
            </w:r>
          </w:p>
        </w:tc>
        <w:tc>
          <w:tcPr>
            <w:tcW w:w="0" w:type="auto"/>
            <w:vAlign w:val="center"/>
          </w:tcPr>
          <w:p w14:paraId="3DB13EFE" w14:textId="77777777" w:rsidR="00E049BA" w:rsidRDefault="002C06ED">
            <w:pPr>
              <w:spacing w:beforeAutospacing="1" w:afterAutospacing="1"/>
            </w:pPr>
            <w:r>
              <w:rPr>
                <w:color w:val="000000"/>
                <w:sz w:val="22"/>
              </w:rPr>
              <w:t>0</w:t>
            </w:r>
          </w:p>
        </w:tc>
        <w:tc>
          <w:tcPr>
            <w:tcW w:w="0" w:type="auto"/>
            <w:vAlign w:val="center"/>
          </w:tcPr>
          <w:p w14:paraId="53CA6F96" w14:textId="77777777" w:rsidR="00E049BA" w:rsidRDefault="002C06ED">
            <w:pPr>
              <w:spacing w:beforeAutospacing="1" w:afterAutospacing="1"/>
            </w:pPr>
            <w:r>
              <w:rPr>
                <w:color w:val="000000"/>
                <w:sz w:val="22"/>
              </w:rPr>
              <w:t xml:space="preserve">         0.00%</w:t>
            </w:r>
          </w:p>
        </w:tc>
      </w:tr>
      <w:tr w:rsidR="00E049BA" w14:paraId="48114707" w14:textId="77777777">
        <w:trPr>
          <w:cantSplit/>
        </w:trPr>
        <w:tc>
          <w:tcPr>
            <w:tcW w:w="0" w:type="auto"/>
            <w:vAlign w:val="center"/>
          </w:tcPr>
          <w:p w14:paraId="47421769" w14:textId="77777777" w:rsidR="00E049BA" w:rsidRDefault="002C06ED">
            <w:pPr>
              <w:spacing w:beforeAutospacing="1" w:afterAutospacing="1"/>
            </w:pPr>
            <w:r>
              <w:rPr>
                <w:color w:val="000000"/>
                <w:sz w:val="22"/>
              </w:rPr>
              <w:t>Economic Development</w:t>
            </w:r>
          </w:p>
        </w:tc>
        <w:tc>
          <w:tcPr>
            <w:tcW w:w="0" w:type="auto"/>
            <w:vAlign w:val="center"/>
          </w:tcPr>
          <w:p w14:paraId="4D88E2BF" w14:textId="77777777" w:rsidR="00E049BA" w:rsidRDefault="002C06ED">
            <w:pPr>
              <w:spacing w:beforeAutospacing="1" w:afterAutospacing="1"/>
            </w:pPr>
            <w:r>
              <w:rPr>
                <w:color w:val="000000"/>
                <w:sz w:val="22"/>
              </w:rPr>
              <w:t>Non-Housing Community Development</w:t>
            </w:r>
          </w:p>
        </w:tc>
        <w:tc>
          <w:tcPr>
            <w:tcW w:w="0" w:type="auto"/>
            <w:vAlign w:val="center"/>
          </w:tcPr>
          <w:p w14:paraId="176F9DCB" w14:textId="77777777" w:rsidR="00E049BA" w:rsidRDefault="002C06ED">
            <w:pPr>
              <w:spacing w:beforeAutospacing="1" w:afterAutospacing="1"/>
            </w:pPr>
            <w:r>
              <w:rPr>
                <w:color w:val="000000"/>
                <w:sz w:val="22"/>
              </w:rPr>
              <w:t>CDBG: $</w:t>
            </w:r>
          </w:p>
        </w:tc>
        <w:tc>
          <w:tcPr>
            <w:tcW w:w="0" w:type="auto"/>
            <w:vAlign w:val="center"/>
          </w:tcPr>
          <w:p w14:paraId="30053782" w14:textId="77777777" w:rsidR="00E049BA" w:rsidRDefault="002C06ED">
            <w:pPr>
              <w:spacing w:beforeAutospacing="1" w:afterAutospacing="1"/>
            </w:pPr>
            <w:r>
              <w:rPr>
                <w:color w:val="000000"/>
                <w:sz w:val="22"/>
              </w:rPr>
              <w:t>Jobs created/retained</w:t>
            </w:r>
          </w:p>
        </w:tc>
        <w:tc>
          <w:tcPr>
            <w:tcW w:w="0" w:type="auto"/>
            <w:vAlign w:val="center"/>
          </w:tcPr>
          <w:p w14:paraId="532F49FF" w14:textId="77777777" w:rsidR="00E049BA" w:rsidRDefault="002C06ED">
            <w:pPr>
              <w:spacing w:beforeAutospacing="1" w:afterAutospacing="1"/>
            </w:pPr>
            <w:r>
              <w:rPr>
                <w:color w:val="000000"/>
                <w:sz w:val="22"/>
              </w:rPr>
              <w:t>Jobs</w:t>
            </w:r>
          </w:p>
        </w:tc>
        <w:tc>
          <w:tcPr>
            <w:tcW w:w="0" w:type="auto"/>
            <w:vAlign w:val="center"/>
          </w:tcPr>
          <w:p w14:paraId="58369852" w14:textId="77777777" w:rsidR="00E049BA" w:rsidRDefault="002C06ED">
            <w:pPr>
              <w:spacing w:beforeAutospacing="1" w:afterAutospacing="1"/>
            </w:pPr>
            <w:r>
              <w:rPr>
                <w:color w:val="000000"/>
                <w:sz w:val="22"/>
              </w:rPr>
              <w:t>50</w:t>
            </w:r>
          </w:p>
        </w:tc>
        <w:tc>
          <w:tcPr>
            <w:tcW w:w="0" w:type="auto"/>
            <w:vAlign w:val="center"/>
          </w:tcPr>
          <w:p w14:paraId="417E7614" w14:textId="77777777" w:rsidR="00E049BA" w:rsidRDefault="002C06ED">
            <w:pPr>
              <w:spacing w:beforeAutospacing="1" w:afterAutospacing="1"/>
            </w:pPr>
            <w:r>
              <w:rPr>
                <w:color w:val="000000"/>
                <w:sz w:val="22"/>
              </w:rPr>
              <w:t>0</w:t>
            </w:r>
          </w:p>
        </w:tc>
        <w:tc>
          <w:tcPr>
            <w:tcW w:w="0" w:type="auto"/>
            <w:vAlign w:val="center"/>
          </w:tcPr>
          <w:p w14:paraId="2B84B382" w14:textId="77777777" w:rsidR="00E049BA" w:rsidRDefault="002C06ED">
            <w:pPr>
              <w:spacing w:beforeAutospacing="1" w:afterAutospacing="1"/>
            </w:pPr>
            <w:r>
              <w:rPr>
                <w:color w:val="000000"/>
                <w:sz w:val="22"/>
              </w:rPr>
              <w:t xml:space="preserve">         0.00%</w:t>
            </w:r>
          </w:p>
        </w:tc>
        <w:tc>
          <w:tcPr>
            <w:tcW w:w="0" w:type="auto"/>
            <w:vAlign w:val="center"/>
          </w:tcPr>
          <w:p w14:paraId="1CE75EB1" w14:textId="77777777" w:rsidR="00E049BA" w:rsidRDefault="002C06ED">
            <w:pPr>
              <w:spacing w:beforeAutospacing="1" w:afterAutospacing="1"/>
            </w:pPr>
            <w:r>
              <w:rPr>
                <w:color w:val="000000"/>
                <w:sz w:val="22"/>
              </w:rPr>
              <w:t xml:space="preserve"> </w:t>
            </w:r>
          </w:p>
        </w:tc>
        <w:tc>
          <w:tcPr>
            <w:tcW w:w="0" w:type="auto"/>
            <w:vAlign w:val="center"/>
          </w:tcPr>
          <w:p w14:paraId="73286552" w14:textId="77777777" w:rsidR="00E049BA" w:rsidRDefault="002C06ED">
            <w:pPr>
              <w:spacing w:beforeAutospacing="1" w:afterAutospacing="1"/>
            </w:pPr>
            <w:r>
              <w:rPr>
                <w:color w:val="000000"/>
                <w:sz w:val="22"/>
              </w:rPr>
              <w:t xml:space="preserve"> </w:t>
            </w:r>
          </w:p>
        </w:tc>
        <w:tc>
          <w:tcPr>
            <w:tcW w:w="0" w:type="auto"/>
            <w:vAlign w:val="center"/>
          </w:tcPr>
          <w:p w14:paraId="6FC3DD64" w14:textId="77777777" w:rsidR="00E049BA" w:rsidRDefault="002C06ED">
            <w:pPr>
              <w:spacing w:beforeAutospacing="1" w:afterAutospacing="1"/>
            </w:pPr>
            <w:r>
              <w:rPr>
                <w:color w:val="000000"/>
                <w:sz w:val="22"/>
              </w:rPr>
              <w:t xml:space="preserve"> </w:t>
            </w:r>
          </w:p>
        </w:tc>
      </w:tr>
      <w:tr w:rsidR="00E049BA" w14:paraId="55DAF8C9" w14:textId="77777777">
        <w:trPr>
          <w:cantSplit/>
        </w:trPr>
        <w:tc>
          <w:tcPr>
            <w:tcW w:w="0" w:type="auto"/>
            <w:vAlign w:val="center"/>
          </w:tcPr>
          <w:p w14:paraId="59DEC191" w14:textId="77777777" w:rsidR="00E049BA" w:rsidRDefault="002C06ED">
            <w:pPr>
              <w:spacing w:beforeAutospacing="1" w:afterAutospacing="1"/>
            </w:pPr>
            <w:r>
              <w:rPr>
                <w:color w:val="000000"/>
                <w:sz w:val="22"/>
              </w:rPr>
              <w:t>Economic Development</w:t>
            </w:r>
          </w:p>
        </w:tc>
        <w:tc>
          <w:tcPr>
            <w:tcW w:w="0" w:type="auto"/>
            <w:vAlign w:val="center"/>
          </w:tcPr>
          <w:p w14:paraId="51B4B257" w14:textId="77777777" w:rsidR="00E049BA" w:rsidRDefault="002C06ED">
            <w:pPr>
              <w:spacing w:beforeAutospacing="1" w:afterAutospacing="1"/>
            </w:pPr>
            <w:r>
              <w:rPr>
                <w:color w:val="000000"/>
                <w:sz w:val="22"/>
              </w:rPr>
              <w:t>Non-Housing Community Development</w:t>
            </w:r>
          </w:p>
        </w:tc>
        <w:tc>
          <w:tcPr>
            <w:tcW w:w="0" w:type="auto"/>
            <w:vAlign w:val="center"/>
          </w:tcPr>
          <w:p w14:paraId="1C2A8534" w14:textId="77777777" w:rsidR="00E049BA" w:rsidRDefault="002C06ED">
            <w:pPr>
              <w:spacing w:beforeAutospacing="1" w:afterAutospacing="1"/>
            </w:pPr>
            <w:r>
              <w:rPr>
                <w:color w:val="000000"/>
                <w:sz w:val="22"/>
              </w:rPr>
              <w:t>CDBG: $</w:t>
            </w:r>
          </w:p>
        </w:tc>
        <w:tc>
          <w:tcPr>
            <w:tcW w:w="0" w:type="auto"/>
            <w:vAlign w:val="center"/>
          </w:tcPr>
          <w:p w14:paraId="2644EE50" w14:textId="77777777" w:rsidR="00E049BA" w:rsidRDefault="002C06ED">
            <w:pPr>
              <w:spacing w:beforeAutospacing="1" w:afterAutospacing="1"/>
            </w:pPr>
            <w:r>
              <w:rPr>
                <w:color w:val="000000"/>
                <w:sz w:val="22"/>
              </w:rPr>
              <w:t>Businesses assisted</w:t>
            </w:r>
          </w:p>
        </w:tc>
        <w:tc>
          <w:tcPr>
            <w:tcW w:w="0" w:type="auto"/>
            <w:vAlign w:val="center"/>
          </w:tcPr>
          <w:p w14:paraId="3D774569" w14:textId="77777777" w:rsidR="00E049BA" w:rsidRDefault="002C06ED">
            <w:pPr>
              <w:spacing w:beforeAutospacing="1" w:afterAutospacing="1"/>
            </w:pPr>
            <w:r>
              <w:rPr>
                <w:color w:val="000000"/>
                <w:sz w:val="22"/>
              </w:rPr>
              <w:t>Businesses Assisted</w:t>
            </w:r>
          </w:p>
        </w:tc>
        <w:tc>
          <w:tcPr>
            <w:tcW w:w="0" w:type="auto"/>
            <w:vAlign w:val="center"/>
          </w:tcPr>
          <w:p w14:paraId="23AE9886" w14:textId="77777777" w:rsidR="00E049BA" w:rsidRDefault="002C06ED">
            <w:pPr>
              <w:spacing w:beforeAutospacing="1" w:afterAutospacing="1"/>
            </w:pPr>
            <w:r>
              <w:rPr>
                <w:color w:val="000000"/>
                <w:sz w:val="22"/>
              </w:rPr>
              <w:t>5</w:t>
            </w:r>
          </w:p>
        </w:tc>
        <w:tc>
          <w:tcPr>
            <w:tcW w:w="0" w:type="auto"/>
            <w:vAlign w:val="center"/>
          </w:tcPr>
          <w:p w14:paraId="7C1E1C2D" w14:textId="77777777" w:rsidR="00E049BA" w:rsidRDefault="002C06ED">
            <w:pPr>
              <w:spacing w:beforeAutospacing="1" w:afterAutospacing="1"/>
            </w:pPr>
            <w:r>
              <w:rPr>
                <w:color w:val="000000"/>
                <w:sz w:val="22"/>
              </w:rPr>
              <w:t>0</w:t>
            </w:r>
          </w:p>
        </w:tc>
        <w:tc>
          <w:tcPr>
            <w:tcW w:w="0" w:type="auto"/>
            <w:vAlign w:val="center"/>
          </w:tcPr>
          <w:p w14:paraId="2A2BDFD6" w14:textId="77777777" w:rsidR="00E049BA" w:rsidRDefault="002C06ED">
            <w:pPr>
              <w:spacing w:beforeAutospacing="1" w:afterAutospacing="1"/>
            </w:pPr>
            <w:r>
              <w:rPr>
                <w:color w:val="000000"/>
                <w:sz w:val="22"/>
              </w:rPr>
              <w:t xml:space="preserve">         0.00%</w:t>
            </w:r>
          </w:p>
        </w:tc>
        <w:tc>
          <w:tcPr>
            <w:tcW w:w="0" w:type="auto"/>
            <w:vAlign w:val="center"/>
          </w:tcPr>
          <w:p w14:paraId="7036E763" w14:textId="77777777" w:rsidR="00E049BA" w:rsidRDefault="002C06ED">
            <w:pPr>
              <w:spacing w:beforeAutospacing="1" w:afterAutospacing="1"/>
            </w:pPr>
            <w:r>
              <w:rPr>
                <w:color w:val="000000"/>
                <w:sz w:val="22"/>
              </w:rPr>
              <w:t xml:space="preserve"> </w:t>
            </w:r>
          </w:p>
        </w:tc>
        <w:tc>
          <w:tcPr>
            <w:tcW w:w="0" w:type="auto"/>
            <w:vAlign w:val="center"/>
          </w:tcPr>
          <w:p w14:paraId="0557A838" w14:textId="77777777" w:rsidR="00E049BA" w:rsidRDefault="002C06ED">
            <w:pPr>
              <w:spacing w:beforeAutospacing="1" w:afterAutospacing="1"/>
            </w:pPr>
            <w:r>
              <w:rPr>
                <w:color w:val="000000"/>
                <w:sz w:val="22"/>
              </w:rPr>
              <w:t xml:space="preserve"> </w:t>
            </w:r>
          </w:p>
        </w:tc>
        <w:tc>
          <w:tcPr>
            <w:tcW w:w="0" w:type="auto"/>
            <w:vAlign w:val="center"/>
          </w:tcPr>
          <w:p w14:paraId="0EDD2B83" w14:textId="77777777" w:rsidR="00E049BA" w:rsidRDefault="002C06ED">
            <w:pPr>
              <w:spacing w:beforeAutospacing="1" w:afterAutospacing="1"/>
            </w:pPr>
            <w:r>
              <w:rPr>
                <w:color w:val="000000"/>
                <w:sz w:val="22"/>
              </w:rPr>
              <w:t xml:space="preserve"> </w:t>
            </w:r>
          </w:p>
        </w:tc>
      </w:tr>
      <w:tr w:rsidR="00E049BA" w14:paraId="6BA8B861" w14:textId="77777777">
        <w:trPr>
          <w:cantSplit/>
        </w:trPr>
        <w:tc>
          <w:tcPr>
            <w:tcW w:w="0" w:type="auto"/>
            <w:vAlign w:val="center"/>
          </w:tcPr>
          <w:p w14:paraId="4C8719B3" w14:textId="77777777" w:rsidR="00E049BA" w:rsidRDefault="002C06ED">
            <w:pPr>
              <w:spacing w:beforeAutospacing="1" w:afterAutospacing="1"/>
            </w:pPr>
            <w:r>
              <w:rPr>
                <w:color w:val="000000"/>
                <w:sz w:val="22"/>
              </w:rPr>
              <w:t>First Time Homebuyers Assistance</w:t>
            </w:r>
          </w:p>
        </w:tc>
        <w:tc>
          <w:tcPr>
            <w:tcW w:w="0" w:type="auto"/>
            <w:vAlign w:val="center"/>
          </w:tcPr>
          <w:p w14:paraId="75F1CA55" w14:textId="77777777" w:rsidR="00E049BA" w:rsidRDefault="002C06ED">
            <w:pPr>
              <w:spacing w:beforeAutospacing="1" w:afterAutospacing="1"/>
            </w:pPr>
            <w:r>
              <w:rPr>
                <w:color w:val="000000"/>
                <w:sz w:val="22"/>
              </w:rPr>
              <w:t>Affordable Housing</w:t>
            </w:r>
          </w:p>
        </w:tc>
        <w:tc>
          <w:tcPr>
            <w:tcW w:w="0" w:type="auto"/>
            <w:vAlign w:val="center"/>
          </w:tcPr>
          <w:p w14:paraId="57EC04B5" w14:textId="77777777" w:rsidR="00E049BA" w:rsidRDefault="002C06ED">
            <w:pPr>
              <w:spacing w:beforeAutospacing="1" w:afterAutospacing="1"/>
            </w:pPr>
            <w:r>
              <w:rPr>
                <w:color w:val="000000"/>
                <w:sz w:val="22"/>
              </w:rPr>
              <w:t>CDBG: $</w:t>
            </w:r>
          </w:p>
        </w:tc>
        <w:tc>
          <w:tcPr>
            <w:tcW w:w="0" w:type="auto"/>
            <w:vAlign w:val="center"/>
          </w:tcPr>
          <w:p w14:paraId="147D67E7" w14:textId="77777777" w:rsidR="00E049BA" w:rsidRDefault="002C06ED">
            <w:pPr>
              <w:spacing w:beforeAutospacing="1" w:afterAutospacing="1"/>
            </w:pPr>
            <w:r>
              <w:rPr>
                <w:color w:val="000000"/>
                <w:sz w:val="22"/>
              </w:rPr>
              <w:t>Direct Financial Assistance to Homebuyers</w:t>
            </w:r>
          </w:p>
        </w:tc>
        <w:tc>
          <w:tcPr>
            <w:tcW w:w="0" w:type="auto"/>
            <w:vAlign w:val="center"/>
          </w:tcPr>
          <w:p w14:paraId="2A07BBB9" w14:textId="77777777" w:rsidR="00E049BA" w:rsidRDefault="002C06ED">
            <w:pPr>
              <w:spacing w:beforeAutospacing="1" w:afterAutospacing="1"/>
            </w:pPr>
            <w:r>
              <w:rPr>
                <w:color w:val="000000"/>
                <w:sz w:val="22"/>
              </w:rPr>
              <w:t>Households Assisted</w:t>
            </w:r>
          </w:p>
        </w:tc>
        <w:tc>
          <w:tcPr>
            <w:tcW w:w="0" w:type="auto"/>
            <w:vAlign w:val="center"/>
          </w:tcPr>
          <w:p w14:paraId="05B96188" w14:textId="77777777" w:rsidR="00E049BA" w:rsidRDefault="002C06ED">
            <w:pPr>
              <w:spacing w:beforeAutospacing="1" w:afterAutospacing="1"/>
            </w:pPr>
            <w:r>
              <w:rPr>
                <w:color w:val="000000"/>
                <w:sz w:val="22"/>
              </w:rPr>
              <w:t>50</w:t>
            </w:r>
          </w:p>
        </w:tc>
        <w:tc>
          <w:tcPr>
            <w:tcW w:w="0" w:type="auto"/>
            <w:vAlign w:val="center"/>
          </w:tcPr>
          <w:p w14:paraId="33DF5029" w14:textId="77777777" w:rsidR="00E049BA" w:rsidRDefault="002C06ED">
            <w:pPr>
              <w:spacing w:beforeAutospacing="1" w:afterAutospacing="1"/>
            </w:pPr>
            <w:r>
              <w:rPr>
                <w:color w:val="000000"/>
                <w:sz w:val="22"/>
              </w:rPr>
              <w:t>2</w:t>
            </w:r>
          </w:p>
        </w:tc>
        <w:tc>
          <w:tcPr>
            <w:tcW w:w="0" w:type="auto"/>
            <w:vAlign w:val="center"/>
          </w:tcPr>
          <w:p w14:paraId="1912FFC0" w14:textId="77777777" w:rsidR="00E049BA" w:rsidRDefault="002C06ED">
            <w:pPr>
              <w:spacing w:beforeAutospacing="1" w:afterAutospacing="1"/>
            </w:pPr>
            <w:r>
              <w:rPr>
                <w:color w:val="000000"/>
                <w:sz w:val="22"/>
              </w:rPr>
              <w:t xml:space="preserve">         4.00%</w:t>
            </w:r>
          </w:p>
        </w:tc>
        <w:tc>
          <w:tcPr>
            <w:tcW w:w="0" w:type="auto"/>
            <w:vAlign w:val="center"/>
          </w:tcPr>
          <w:p w14:paraId="08EA2DD6" w14:textId="77777777" w:rsidR="00E049BA" w:rsidRDefault="002C06ED">
            <w:pPr>
              <w:spacing w:beforeAutospacing="1" w:afterAutospacing="1"/>
            </w:pPr>
            <w:r>
              <w:rPr>
                <w:color w:val="000000"/>
                <w:sz w:val="22"/>
              </w:rPr>
              <w:t>3</w:t>
            </w:r>
          </w:p>
        </w:tc>
        <w:tc>
          <w:tcPr>
            <w:tcW w:w="0" w:type="auto"/>
            <w:vAlign w:val="center"/>
          </w:tcPr>
          <w:p w14:paraId="1AED305A" w14:textId="77777777" w:rsidR="00E049BA" w:rsidRDefault="002C06ED">
            <w:pPr>
              <w:spacing w:beforeAutospacing="1" w:afterAutospacing="1"/>
            </w:pPr>
            <w:r>
              <w:rPr>
                <w:color w:val="000000"/>
                <w:sz w:val="22"/>
              </w:rPr>
              <w:t>0</w:t>
            </w:r>
          </w:p>
        </w:tc>
        <w:tc>
          <w:tcPr>
            <w:tcW w:w="0" w:type="auto"/>
            <w:vAlign w:val="center"/>
          </w:tcPr>
          <w:p w14:paraId="1864BCB9" w14:textId="77777777" w:rsidR="00E049BA" w:rsidRDefault="002C06ED">
            <w:pPr>
              <w:spacing w:beforeAutospacing="1" w:afterAutospacing="1"/>
            </w:pPr>
            <w:r>
              <w:rPr>
                <w:color w:val="000000"/>
                <w:sz w:val="22"/>
              </w:rPr>
              <w:t xml:space="preserve">         0.00%</w:t>
            </w:r>
          </w:p>
        </w:tc>
      </w:tr>
      <w:tr w:rsidR="00E049BA" w14:paraId="477FECDB" w14:textId="77777777">
        <w:trPr>
          <w:cantSplit/>
        </w:trPr>
        <w:tc>
          <w:tcPr>
            <w:tcW w:w="0" w:type="auto"/>
            <w:vAlign w:val="center"/>
          </w:tcPr>
          <w:p w14:paraId="42B663C3" w14:textId="77777777" w:rsidR="00E049BA" w:rsidRDefault="002C06ED">
            <w:pPr>
              <w:spacing w:beforeAutospacing="1" w:afterAutospacing="1"/>
            </w:pPr>
            <w:r>
              <w:rPr>
                <w:color w:val="000000"/>
                <w:sz w:val="22"/>
              </w:rPr>
              <w:t>Homeless</w:t>
            </w:r>
          </w:p>
        </w:tc>
        <w:tc>
          <w:tcPr>
            <w:tcW w:w="0" w:type="auto"/>
            <w:vAlign w:val="center"/>
          </w:tcPr>
          <w:p w14:paraId="6A1E19DC" w14:textId="77777777" w:rsidR="00E049BA" w:rsidRDefault="002C06ED">
            <w:pPr>
              <w:spacing w:beforeAutospacing="1" w:afterAutospacing="1"/>
            </w:pPr>
            <w:r>
              <w:rPr>
                <w:color w:val="000000"/>
                <w:sz w:val="22"/>
              </w:rPr>
              <w:t>Homeless</w:t>
            </w:r>
          </w:p>
        </w:tc>
        <w:tc>
          <w:tcPr>
            <w:tcW w:w="0" w:type="auto"/>
            <w:vAlign w:val="center"/>
          </w:tcPr>
          <w:p w14:paraId="1FD30DF3" w14:textId="77777777" w:rsidR="00E049BA" w:rsidRDefault="002C06ED">
            <w:pPr>
              <w:spacing w:beforeAutospacing="1" w:afterAutospacing="1"/>
            </w:pPr>
            <w:r>
              <w:rPr>
                <w:color w:val="000000"/>
                <w:sz w:val="22"/>
              </w:rPr>
              <w:t xml:space="preserve"> </w:t>
            </w:r>
          </w:p>
        </w:tc>
        <w:tc>
          <w:tcPr>
            <w:tcW w:w="0" w:type="auto"/>
            <w:vAlign w:val="center"/>
          </w:tcPr>
          <w:p w14:paraId="7ECAF4DF" w14:textId="77777777" w:rsidR="00E049BA" w:rsidRDefault="002C06ED">
            <w:pPr>
              <w:spacing w:beforeAutospacing="1" w:afterAutospacing="1"/>
            </w:pPr>
            <w:r>
              <w:rPr>
                <w:color w:val="000000"/>
                <w:sz w:val="22"/>
              </w:rPr>
              <w:t>Housing for Homeless added</w:t>
            </w:r>
          </w:p>
        </w:tc>
        <w:tc>
          <w:tcPr>
            <w:tcW w:w="0" w:type="auto"/>
            <w:vAlign w:val="center"/>
          </w:tcPr>
          <w:p w14:paraId="4B2107CC" w14:textId="77777777" w:rsidR="00E049BA" w:rsidRDefault="002C06ED">
            <w:pPr>
              <w:spacing w:beforeAutospacing="1" w:afterAutospacing="1"/>
            </w:pPr>
            <w:r>
              <w:rPr>
                <w:color w:val="000000"/>
                <w:sz w:val="22"/>
              </w:rPr>
              <w:t>Household Housing Unit</w:t>
            </w:r>
          </w:p>
        </w:tc>
        <w:tc>
          <w:tcPr>
            <w:tcW w:w="0" w:type="auto"/>
            <w:vAlign w:val="center"/>
          </w:tcPr>
          <w:p w14:paraId="4D34EF75" w14:textId="77777777" w:rsidR="00E049BA" w:rsidRDefault="002C06ED">
            <w:pPr>
              <w:spacing w:beforeAutospacing="1" w:afterAutospacing="1"/>
            </w:pPr>
            <w:r>
              <w:rPr>
                <w:color w:val="000000"/>
                <w:sz w:val="22"/>
              </w:rPr>
              <w:t>5</w:t>
            </w:r>
          </w:p>
        </w:tc>
        <w:tc>
          <w:tcPr>
            <w:tcW w:w="0" w:type="auto"/>
            <w:vAlign w:val="center"/>
          </w:tcPr>
          <w:p w14:paraId="02D326E3" w14:textId="77777777" w:rsidR="00E049BA" w:rsidRDefault="002C06ED">
            <w:pPr>
              <w:spacing w:beforeAutospacing="1" w:afterAutospacing="1"/>
            </w:pPr>
            <w:r>
              <w:rPr>
                <w:color w:val="000000"/>
                <w:sz w:val="22"/>
              </w:rPr>
              <w:t>0</w:t>
            </w:r>
          </w:p>
        </w:tc>
        <w:tc>
          <w:tcPr>
            <w:tcW w:w="0" w:type="auto"/>
            <w:vAlign w:val="center"/>
          </w:tcPr>
          <w:p w14:paraId="79877B99" w14:textId="77777777" w:rsidR="00E049BA" w:rsidRDefault="002C06ED">
            <w:pPr>
              <w:spacing w:beforeAutospacing="1" w:afterAutospacing="1"/>
            </w:pPr>
            <w:r>
              <w:rPr>
                <w:color w:val="000000"/>
                <w:sz w:val="22"/>
              </w:rPr>
              <w:t xml:space="preserve">         0.00%</w:t>
            </w:r>
          </w:p>
        </w:tc>
        <w:tc>
          <w:tcPr>
            <w:tcW w:w="0" w:type="auto"/>
            <w:vAlign w:val="center"/>
          </w:tcPr>
          <w:p w14:paraId="5D9D9212" w14:textId="77777777" w:rsidR="00E049BA" w:rsidRDefault="002C06ED">
            <w:pPr>
              <w:spacing w:beforeAutospacing="1" w:afterAutospacing="1"/>
            </w:pPr>
            <w:r>
              <w:rPr>
                <w:color w:val="000000"/>
                <w:sz w:val="22"/>
              </w:rPr>
              <w:t xml:space="preserve"> </w:t>
            </w:r>
          </w:p>
        </w:tc>
        <w:tc>
          <w:tcPr>
            <w:tcW w:w="0" w:type="auto"/>
            <w:vAlign w:val="center"/>
          </w:tcPr>
          <w:p w14:paraId="00F9A644" w14:textId="77777777" w:rsidR="00E049BA" w:rsidRDefault="002C06ED">
            <w:pPr>
              <w:spacing w:beforeAutospacing="1" w:afterAutospacing="1"/>
            </w:pPr>
            <w:r>
              <w:rPr>
                <w:color w:val="000000"/>
                <w:sz w:val="22"/>
              </w:rPr>
              <w:t xml:space="preserve"> </w:t>
            </w:r>
          </w:p>
        </w:tc>
        <w:tc>
          <w:tcPr>
            <w:tcW w:w="0" w:type="auto"/>
            <w:vAlign w:val="center"/>
          </w:tcPr>
          <w:p w14:paraId="046C3D7F" w14:textId="77777777" w:rsidR="00E049BA" w:rsidRDefault="002C06ED">
            <w:pPr>
              <w:spacing w:beforeAutospacing="1" w:afterAutospacing="1"/>
            </w:pPr>
            <w:r>
              <w:rPr>
                <w:color w:val="000000"/>
                <w:sz w:val="22"/>
              </w:rPr>
              <w:t xml:space="preserve"> </w:t>
            </w:r>
          </w:p>
        </w:tc>
      </w:tr>
      <w:tr w:rsidR="00E049BA" w14:paraId="3F2FEC32" w14:textId="77777777">
        <w:trPr>
          <w:cantSplit/>
        </w:trPr>
        <w:tc>
          <w:tcPr>
            <w:tcW w:w="0" w:type="auto"/>
            <w:vAlign w:val="center"/>
          </w:tcPr>
          <w:p w14:paraId="11AE69FB" w14:textId="77777777" w:rsidR="00E049BA" w:rsidRDefault="002C06ED">
            <w:pPr>
              <w:spacing w:beforeAutospacing="1" w:afterAutospacing="1"/>
            </w:pPr>
            <w:r>
              <w:rPr>
                <w:color w:val="000000"/>
                <w:sz w:val="22"/>
              </w:rPr>
              <w:t>Housing Rehabilitation</w:t>
            </w:r>
          </w:p>
        </w:tc>
        <w:tc>
          <w:tcPr>
            <w:tcW w:w="0" w:type="auto"/>
            <w:vAlign w:val="center"/>
          </w:tcPr>
          <w:p w14:paraId="6B24834B" w14:textId="77777777" w:rsidR="00E049BA" w:rsidRDefault="002C06ED">
            <w:pPr>
              <w:spacing w:beforeAutospacing="1" w:afterAutospacing="1"/>
            </w:pPr>
            <w:r>
              <w:rPr>
                <w:color w:val="000000"/>
                <w:sz w:val="22"/>
              </w:rPr>
              <w:t>Affordable Housing</w:t>
            </w:r>
          </w:p>
        </w:tc>
        <w:tc>
          <w:tcPr>
            <w:tcW w:w="0" w:type="auto"/>
            <w:vAlign w:val="center"/>
          </w:tcPr>
          <w:p w14:paraId="72CDCE87" w14:textId="77777777" w:rsidR="00E049BA" w:rsidRDefault="002C06ED">
            <w:pPr>
              <w:spacing w:beforeAutospacing="1" w:afterAutospacing="1"/>
            </w:pPr>
            <w:r>
              <w:rPr>
                <w:color w:val="000000"/>
                <w:sz w:val="22"/>
              </w:rPr>
              <w:t>CDBG: $</w:t>
            </w:r>
          </w:p>
        </w:tc>
        <w:tc>
          <w:tcPr>
            <w:tcW w:w="0" w:type="auto"/>
            <w:vAlign w:val="center"/>
          </w:tcPr>
          <w:p w14:paraId="5C78FBAA" w14:textId="77777777" w:rsidR="00E049BA" w:rsidRDefault="002C06ED">
            <w:pPr>
              <w:spacing w:beforeAutospacing="1" w:afterAutospacing="1"/>
            </w:pPr>
            <w:r>
              <w:rPr>
                <w:color w:val="000000"/>
                <w:sz w:val="22"/>
              </w:rPr>
              <w:t>Rental units rehabilitated</w:t>
            </w:r>
          </w:p>
        </w:tc>
        <w:tc>
          <w:tcPr>
            <w:tcW w:w="0" w:type="auto"/>
            <w:vAlign w:val="center"/>
          </w:tcPr>
          <w:p w14:paraId="285B94E2" w14:textId="77777777" w:rsidR="00E049BA" w:rsidRDefault="002C06ED">
            <w:pPr>
              <w:spacing w:beforeAutospacing="1" w:afterAutospacing="1"/>
            </w:pPr>
            <w:r>
              <w:rPr>
                <w:color w:val="000000"/>
                <w:sz w:val="22"/>
              </w:rPr>
              <w:t>Household Housing Unit</w:t>
            </w:r>
          </w:p>
        </w:tc>
        <w:tc>
          <w:tcPr>
            <w:tcW w:w="0" w:type="auto"/>
            <w:vAlign w:val="center"/>
          </w:tcPr>
          <w:p w14:paraId="5C6B59B2" w14:textId="77777777" w:rsidR="00E049BA" w:rsidRDefault="002C06ED">
            <w:pPr>
              <w:spacing w:beforeAutospacing="1" w:afterAutospacing="1"/>
            </w:pPr>
            <w:r>
              <w:rPr>
                <w:color w:val="000000"/>
                <w:sz w:val="22"/>
              </w:rPr>
              <w:t>5</w:t>
            </w:r>
          </w:p>
        </w:tc>
        <w:tc>
          <w:tcPr>
            <w:tcW w:w="0" w:type="auto"/>
            <w:vAlign w:val="center"/>
          </w:tcPr>
          <w:p w14:paraId="1D5CF954" w14:textId="77777777" w:rsidR="00E049BA" w:rsidRDefault="002C06ED">
            <w:pPr>
              <w:spacing w:beforeAutospacing="1" w:afterAutospacing="1"/>
            </w:pPr>
            <w:r>
              <w:rPr>
                <w:color w:val="000000"/>
                <w:sz w:val="22"/>
              </w:rPr>
              <w:t>6</w:t>
            </w:r>
          </w:p>
        </w:tc>
        <w:tc>
          <w:tcPr>
            <w:tcW w:w="0" w:type="auto"/>
            <w:vAlign w:val="center"/>
          </w:tcPr>
          <w:p w14:paraId="12D5C211" w14:textId="77777777" w:rsidR="00E049BA" w:rsidRDefault="002C06ED">
            <w:pPr>
              <w:spacing w:beforeAutospacing="1" w:afterAutospacing="1"/>
            </w:pPr>
            <w:r>
              <w:rPr>
                <w:color w:val="000000"/>
                <w:sz w:val="22"/>
              </w:rPr>
              <w:t xml:space="preserve">       120.00%</w:t>
            </w:r>
          </w:p>
        </w:tc>
        <w:tc>
          <w:tcPr>
            <w:tcW w:w="0" w:type="auto"/>
            <w:vAlign w:val="center"/>
          </w:tcPr>
          <w:p w14:paraId="2D82C2A5" w14:textId="77777777" w:rsidR="00E049BA" w:rsidRDefault="002C06ED">
            <w:pPr>
              <w:spacing w:beforeAutospacing="1" w:afterAutospacing="1"/>
            </w:pPr>
            <w:r>
              <w:rPr>
                <w:color w:val="000000"/>
                <w:sz w:val="22"/>
              </w:rPr>
              <w:t xml:space="preserve"> </w:t>
            </w:r>
          </w:p>
        </w:tc>
        <w:tc>
          <w:tcPr>
            <w:tcW w:w="0" w:type="auto"/>
            <w:vAlign w:val="center"/>
          </w:tcPr>
          <w:p w14:paraId="0C71FDD3" w14:textId="77777777" w:rsidR="00E049BA" w:rsidRDefault="002C06ED">
            <w:pPr>
              <w:spacing w:beforeAutospacing="1" w:afterAutospacing="1"/>
            </w:pPr>
            <w:r>
              <w:rPr>
                <w:color w:val="000000"/>
                <w:sz w:val="22"/>
              </w:rPr>
              <w:t xml:space="preserve"> </w:t>
            </w:r>
          </w:p>
        </w:tc>
        <w:tc>
          <w:tcPr>
            <w:tcW w:w="0" w:type="auto"/>
            <w:vAlign w:val="center"/>
          </w:tcPr>
          <w:p w14:paraId="0C233EE1" w14:textId="77777777" w:rsidR="00E049BA" w:rsidRDefault="002C06ED">
            <w:pPr>
              <w:spacing w:beforeAutospacing="1" w:afterAutospacing="1"/>
            </w:pPr>
            <w:r>
              <w:rPr>
                <w:color w:val="000000"/>
                <w:sz w:val="22"/>
              </w:rPr>
              <w:t xml:space="preserve"> </w:t>
            </w:r>
          </w:p>
        </w:tc>
      </w:tr>
      <w:tr w:rsidR="00E049BA" w14:paraId="33017850" w14:textId="77777777">
        <w:trPr>
          <w:cantSplit/>
        </w:trPr>
        <w:tc>
          <w:tcPr>
            <w:tcW w:w="0" w:type="auto"/>
            <w:vAlign w:val="center"/>
          </w:tcPr>
          <w:p w14:paraId="2C850552" w14:textId="77777777" w:rsidR="00E049BA" w:rsidRDefault="002C06ED">
            <w:pPr>
              <w:spacing w:beforeAutospacing="1" w:afterAutospacing="1"/>
            </w:pPr>
            <w:r>
              <w:rPr>
                <w:color w:val="000000"/>
                <w:sz w:val="22"/>
              </w:rPr>
              <w:t>Housing Rehabilitation</w:t>
            </w:r>
          </w:p>
        </w:tc>
        <w:tc>
          <w:tcPr>
            <w:tcW w:w="0" w:type="auto"/>
            <w:vAlign w:val="center"/>
          </w:tcPr>
          <w:p w14:paraId="0629D563" w14:textId="77777777" w:rsidR="00E049BA" w:rsidRDefault="002C06ED">
            <w:pPr>
              <w:spacing w:beforeAutospacing="1" w:afterAutospacing="1"/>
            </w:pPr>
            <w:r>
              <w:rPr>
                <w:color w:val="000000"/>
                <w:sz w:val="22"/>
              </w:rPr>
              <w:t>Affordable Housing</w:t>
            </w:r>
          </w:p>
        </w:tc>
        <w:tc>
          <w:tcPr>
            <w:tcW w:w="0" w:type="auto"/>
            <w:vAlign w:val="center"/>
          </w:tcPr>
          <w:p w14:paraId="0DEBEC18" w14:textId="77777777" w:rsidR="00E049BA" w:rsidRDefault="002C06ED">
            <w:pPr>
              <w:spacing w:beforeAutospacing="1" w:afterAutospacing="1"/>
            </w:pPr>
            <w:r>
              <w:rPr>
                <w:color w:val="000000"/>
                <w:sz w:val="22"/>
              </w:rPr>
              <w:t>CDBG: $</w:t>
            </w:r>
          </w:p>
        </w:tc>
        <w:tc>
          <w:tcPr>
            <w:tcW w:w="0" w:type="auto"/>
            <w:vAlign w:val="center"/>
          </w:tcPr>
          <w:p w14:paraId="2ECCFFE1" w14:textId="77777777" w:rsidR="00E049BA" w:rsidRDefault="002C06ED">
            <w:pPr>
              <w:spacing w:beforeAutospacing="1" w:afterAutospacing="1"/>
            </w:pPr>
            <w:r>
              <w:rPr>
                <w:color w:val="000000"/>
                <w:sz w:val="22"/>
              </w:rPr>
              <w:t>Homeowner Housing Rehabilitated</w:t>
            </w:r>
          </w:p>
        </w:tc>
        <w:tc>
          <w:tcPr>
            <w:tcW w:w="0" w:type="auto"/>
            <w:vAlign w:val="center"/>
          </w:tcPr>
          <w:p w14:paraId="09812632" w14:textId="77777777" w:rsidR="00E049BA" w:rsidRDefault="002C06ED">
            <w:pPr>
              <w:spacing w:beforeAutospacing="1" w:afterAutospacing="1"/>
            </w:pPr>
            <w:r>
              <w:rPr>
                <w:color w:val="000000"/>
                <w:sz w:val="22"/>
              </w:rPr>
              <w:t>Household Housing Unit</w:t>
            </w:r>
          </w:p>
        </w:tc>
        <w:tc>
          <w:tcPr>
            <w:tcW w:w="0" w:type="auto"/>
            <w:vAlign w:val="center"/>
          </w:tcPr>
          <w:p w14:paraId="3AA2FC45" w14:textId="77777777" w:rsidR="00E049BA" w:rsidRDefault="002C06ED">
            <w:pPr>
              <w:spacing w:beforeAutospacing="1" w:afterAutospacing="1"/>
            </w:pPr>
            <w:r>
              <w:rPr>
                <w:color w:val="000000"/>
                <w:sz w:val="22"/>
              </w:rPr>
              <w:t>145</w:t>
            </w:r>
          </w:p>
        </w:tc>
        <w:tc>
          <w:tcPr>
            <w:tcW w:w="0" w:type="auto"/>
            <w:vAlign w:val="center"/>
          </w:tcPr>
          <w:p w14:paraId="19B4AE13" w14:textId="77777777" w:rsidR="00E049BA" w:rsidRDefault="002C06ED">
            <w:pPr>
              <w:spacing w:beforeAutospacing="1" w:afterAutospacing="1"/>
            </w:pPr>
            <w:r>
              <w:rPr>
                <w:color w:val="000000"/>
                <w:sz w:val="22"/>
              </w:rPr>
              <w:t>88</w:t>
            </w:r>
          </w:p>
        </w:tc>
        <w:tc>
          <w:tcPr>
            <w:tcW w:w="0" w:type="auto"/>
            <w:vAlign w:val="center"/>
          </w:tcPr>
          <w:p w14:paraId="4386BB8F" w14:textId="77777777" w:rsidR="00E049BA" w:rsidRDefault="002C06ED">
            <w:pPr>
              <w:spacing w:beforeAutospacing="1" w:afterAutospacing="1"/>
            </w:pPr>
            <w:r>
              <w:rPr>
                <w:color w:val="000000"/>
                <w:sz w:val="22"/>
              </w:rPr>
              <w:t xml:space="preserve">        60.69%</w:t>
            </w:r>
          </w:p>
        </w:tc>
        <w:tc>
          <w:tcPr>
            <w:tcW w:w="0" w:type="auto"/>
            <w:vAlign w:val="center"/>
          </w:tcPr>
          <w:p w14:paraId="22D640AE" w14:textId="77777777" w:rsidR="00E049BA" w:rsidRDefault="002C06ED">
            <w:pPr>
              <w:spacing w:beforeAutospacing="1" w:afterAutospacing="1"/>
            </w:pPr>
            <w:r>
              <w:rPr>
                <w:color w:val="000000"/>
                <w:sz w:val="22"/>
              </w:rPr>
              <w:t>20</w:t>
            </w:r>
          </w:p>
        </w:tc>
        <w:tc>
          <w:tcPr>
            <w:tcW w:w="0" w:type="auto"/>
            <w:vAlign w:val="center"/>
          </w:tcPr>
          <w:p w14:paraId="107C23FD" w14:textId="77777777" w:rsidR="00E049BA" w:rsidRDefault="002C06ED">
            <w:pPr>
              <w:spacing w:beforeAutospacing="1" w:afterAutospacing="1"/>
            </w:pPr>
            <w:r>
              <w:rPr>
                <w:color w:val="000000"/>
                <w:sz w:val="22"/>
              </w:rPr>
              <w:t>10</w:t>
            </w:r>
          </w:p>
        </w:tc>
        <w:tc>
          <w:tcPr>
            <w:tcW w:w="0" w:type="auto"/>
            <w:vAlign w:val="center"/>
          </w:tcPr>
          <w:p w14:paraId="057D4D0C" w14:textId="77777777" w:rsidR="00E049BA" w:rsidRDefault="002C06ED">
            <w:pPr>
              <w:spacing w:beforeAutospacing="1" w:afterAutospacing="1"/>
            </w:pPr>
            <w:r>
              <w:rPr>
                <w:color w:val="000000"/>
                <w:sz w:val="22"/>
              </w:rPr>
              <w:t xml:space="preserve">        50.00%</w:t>
            </w:r>
          </w:p>
        </w:tc>
      </w:tr>
      <w:tr w:rsidR="00E049BA" w14:paraId="199B213A" w14:textId="77777777">
        <w:trPr>
          <w:cantSplit/>
        </w:trPr>
        <w:tc>
          <w:tcPr>
            <w:tcW w:w="0" w:type="auto"/>
            <w:vAlign w:val="center"/>
          </w:tcPr>
          <w:p w14:paraId="5A715C51" w14:textId="77777777" w:rsidR="00E049BA" w:rsidRDefault="002C06ED">
            <w:pPr>
              <w:spacing w:beforeAutospacing="1" w:afterAutospacing="1"/>
            </w:pPr>
            <w:r>
              <w:rPr>
                <w:color w:val="000000"/>
                <w:sz w:val="22"/>
              </w:rPr>
              <w:lastRenderedPageBreak/>
              <w:t>Public Facilities/Infrastructure/Revitalization</w:t>
            </w:r>
          </w:p>
        </w:tc>
        <w:tc>
          <w:tcPr>
            <w:tcW w:w="0" w:type="auto"/>
            <w:vAlign w:val="center"/>
          </w:tcPr>
          <w:p w14:paraId="49EF85AA" w14:textId="77777777" w:rsidR="00E049BA" w:rsidRDefault="002C06ED">
            <w:pPr>
              <w:spacing w:beforeAutospacing="1" w:afterAutospacing="1"/>
            </w:pPr>
            <w:r>
              <w:rPr>
                <w:color w:val="000000"/>
                <w:sz w:val="22"/>
              </w:rPr>
              <w:t>Non-Housing Community Development</w:t>
            </w:r>
          </w:p>
        </w:tc>
        <w:tc>
          <w:tcPr>
            <w:tcW w:w="0" w:type="auto"/>
            <w:vAlign w:val="center"/>
          </w:tcPr>
          <w:p w14:paraId="04E7965D" w14:textId="77777777" w:rsidR="00E049BA" w:rsidRDefault="002C06ED">
            <w:pPr>
              <w:spacing w:beforeAutospacing="1" w:afterAutospacing="1"/>
            </w:pPr>
            <w:r>
              <w:rPr>
                <w:color w:val="000000"/>
                <w:sz w:val="22"/>
              </w:rPr>
              <w:t>CDBG: $</w:t>
            </w:r>
          </w:p>
        </w:tc>
        <w:tc>
          <w:tcPr>
            <w:tcW w:w="0" w:type="auto"/>
            <w:vAlign w:val="center"/>
          </w:tcPr>
          <w:p w14:paraId="43802BD3" w14:textId="77777777" w:rsidR="00E049BA" w:rsidRDefault="002C06ED">
            <w:pPr>
              <w:spacing w:beforeAutospacing="1" w:afterAutospacing="1"/>
            </w:pPr>
            <w:r>
              <w:rPr>
                <w:color w:val="000000"/>
                <w:sz w:val="22"/>
              </w:rPr>
              <w:t>Public Facility or Infrastructure Activities other than Low/Moderate Income Housing Benefit</w:t>
            </w:r>
          </w:p>
        </w:tc>
        <w:tc>
          <w:tcPr>
            <w:tcW w:w="0" w:type="auto"/>
            <w:vAlign w:val="center"/>
          </w:tcPr>
          <w:p w14:paraId="271E26C7" w14:textId="77777777" w:rsidR="00E049BA" w:rsidRDefault="002C06ED">
            <w:pPr>
              <w:spacing w:beforeAutospacing="1" w:afterAutospacing="1"/>
            </w:pPr>
            <w:r>
              <w:rPr>
                <w:color w:val="000000"/>
                <w:sz w:val="22"/>
              </w:rPr>
              <w:t>Persons Assisted</w:t>
            </w:r>
          </w:p>
        </w:tc>
        <w:tc>
          <w:tcPr>
            <w:tcW w:w="0" w:type="auto"/>
            <w:vAlign w:val="center"/>
          </w:tcPr>
          <w:p w14:paraId="4AC27410" w14:textId="77777777" w:rsidR="00E049BA" w:rsidRDefault="002C06ED">
            <w:pPr>
              <w:spacing w:beforeAutospacing="1" w:afterAutospacing="1"/>
            </w:pPr>
            <w:r>
              <w:rPr>
                <w:color w:val="000000"/>
                <w:sz w:val="22"/>
              </w:rPr>
              <w:t>5000</w:t>
            </w:r>
          </w:p>
        </w:tc>
        <w:tc>
          <w:tcPr>
            <w:tcW w:w="0" w:type="auto"/>
            <w:vAlign w:val="center"/>
          </w:tcPr>
          <w:p w14:paraId="20EB6680" w14:textId="77777777" w:rsidR="00E049BA" w:rsidRDefault="002C06ED">
            <w:pPr>
              <w:spacing w:beforeAutospacing="1" w:afterAutospacing="1"/>
            </w:pPr>
            <w:r>
              <w:rPr>
                <w:color w:val="000000"/>
                <w:sz w:val="22"/>
              </w:rPr>
              <w:t>14848</w:t>
            </w:r>
          </w:p>
        </w:tc>
        <w:tc>
          <w:tcPr>
            <w:tcW w:w="0" w:type="auto"/>
            <w:vAlign w:val="center"/>
          </w:tcPr>
          <w:p w14:paraId="01C80A6E" w14:textId="77777777" w:rsidR="00E049BA" w:rsidRDefault="002C06ED">
            <w:pPr>
              <w:spacing w:beforeAutospacing="1" w:afterAutospacing="1"/>
            </w:pPr>
            <w:r>
              <w:rPr>
                <w:color w:val="000000"/>
                <w:sz w:val="22"/>
              </w:rPr>
              <w:t xml:space="preserve">       296.96%</w:t>
            </w:r>
          </w:p>
        </w:tc>
        <w:tc>
          <w:tcPr>
            <w:tcW w:w="0" w:type="auto"/>
            <w:vAlign w:val="center"/>
          </w:tcPr>
          <w:p w14:paraId="7244CDD6" w14:textId="77777777" w:rsidR="00E049BA" w:rsidRDefault="002C06ED">
            <w:pPr>
              <w:spacing w:beforeAutospacing="1" w:afterAutospacing="1"/>
            </w:pPr>
            <w:r>
              <w:rPr>
                <w:color w:val="000000"/>
                <w:sz w:val="22"/>
              </w:rPr>
              <w:t>1000</w:t>
            </w:r>
          </w:p>
        </w:tc>
        <w:tc>
          <w:tcPr>
            <w:tcW w:w="0" w:type="auto"/>
            <w:vAlign w:val="center"/>
          </w:tcPr>
          <w:p w14:paraId="54998D92" w14:textId="77777777" w:rsidR="00E049BA" w:rsidRDefault="002C06ED">
            <w:pPr>
              <w:spacing w:beforeAutospacing="1" w:afterAutospacing="1"/>
            </w:pPr>
            <w:r>
              <w:rPr>
                <w:color w:val="000000"/>
                <w:sz w:val="22"/>
              </w:rPr>
              <w:t>3965</w:t>
            </w:r>
          </w:p>
        </w:tc>
        <w:tc>
          <w:tcPr>
            <w:tcW w:w="0" w:type="auto"/>
            <w:vAlign w:val="center"/>
          </w:tcPr>
          <w:p w14:paraId="21D8EA24" w14:textId="77777777" w:rsidR="00E049BA" w:rsidRDefault="002C06ED">
            <w:pPr>
              <w:spacing w:beforeAutospacing="1" w:afterAutospacing="1"/>
            </w:pPr>
            <w:r>
              <w:rPr>
                <w:color w:val="000000"/>
                <w:sz w:val="22"/>
              </w:rPr>
              <w:t xml:space="preserve">       396.50%</w:t>
            </w:r>
          </w:p>
        </w:tc>
      </w:tr>
      <w:tr w:rsidR="00E049BA" w14:paraId="5252B17F" w14:textId="77777777">
        <w:trPr>
          <w:cantSplit/>
        </w:trPr>
        <w:tc>
          <w:tcPr>
            <w:tcW w:w="0" w:type="auto"/>
            <w:vAlign w:val="center"/>
          </w:tcPr>
          <w:p w14:paraId="6F565FBF" w14:textId="77777777" w:rsidR="00E049BA" w:rsidRDefault="002C06ED">
            <w:pPr>
              <w:spacing w:beforeAutospacing="1" w:afterAutospacing="1"/>
            </w:pPr>
            <w:r>
              <w:rPr>
                <w:color w:val="000000"/>
                <w:sz w:val="22"/>
              </w:rPr>
              <w:t>Public Services</w:t>
            </w:r>
          </w:p>
        </w:tc>
        <w:tc>
          <w:tcPr>
            <w:tcW w:w="0" w:type="auto"/>
            <w:vAlign w:val="center"/>
          </w:tcPr>
          <w:p w14:paraId="5FA40CA2" w14:textId="77777777" w:rsidR="00E049BA" w:rsidRDefault="002C06ED">
            <w:pPr>
              <w:spacing w:beforeAutospacing="1" w:afterAutospacing="1"/>
            </w:pPr>
            <w:r>
              <w:rPr>
                <w:color w:val="000000"/>
                <w:sz w:val="22"/>
              </w:rPr>
              <w:t>Non-Homeless Special Needs</w:t>
            </w:r>
            <w:r>
              <w:rPr>
                <w:color w:val="000000"/>
                <w:sz w:val="22"/>
              </w:rPr>
              <w:br/>
            </w:r>
            <w:r>
              <w:rPr>
                <w:color w:val="000000"/>
                <w:sz w:val="22"/>
              </w:rPr>
              <w:t>Non-Housing Community Development</w:t>
            </w:r>
            <w:r>
              <w:rPr>
                <w:color w:val="000000"/>
                <w:sz w:val="22"/>
              </w:rPr>
              <w:br/>
              <w:t>Public Services</w:t>
            </w:r>
          </w:p>
        </w:tc>
        <w:tc>
          <w:tcPr>
            <w:tcW w:w="0" w:type="auto"/>
            <w:vAlign w:val="center"/>
          </w:tcPr>
          <w:p w14:paraId="33859292" w14:textId="77777777" w:rsidR="00E049BA" w:rsidRDefault="002C06ED">
            <w:pPr>
              <w:spacing w:beforeAutospacing="1" w:afterAutospacing="1"/>
            </w:pPr>
            <w:r>
              <w:rPr>
                <w:color w:val="000000"/>
                <w:sz w:val="22"/>
              </w:rPr>
              <w:t>CDBG: $</w:t>
            </w:r>
          </w:p>
        </w:tc>
        <w:tc>
          <w:tcPr>
            <w:tcW w:w="0" w:type="auto"/>
            <w:vAlign w:val="center"/>
          </w:tcPr>
          <w:p w14:paraId="2654BE36" w14:textId="77777777" w:rsidR="00E049BA" w:rsidRDefault="002C06ED">
            <w:pPr>
              <w:spacing w:beforeAutospacing="1" w:afterAutospacing="1"/>
            </w:pPr>
            <w:r>
              <w:rPr>
                <w:color w:val="000000"/>
                <w:sz w:val="22"/>
              </w:rPr>
              <w:t>Public service activities other than Low/Moderate Income Housing Benefit</w:t>
            </w:r>
          </w:p>
        </w:tc>
        <w:tc>
          <w:tcPr>
            <w:tcW w:w="0" w:type="auto"/>
            <w:vAlign w:val="center"/>
          </w:tcPr>
          <w:p w14:paraId="1C11E8EC" w14:textId="77777777" w:rsidR="00E049BA" w:rsidRDefault="002C06ED">
            <w:pPr>
              <w:spacing w:beforeAutospacing="1" w:afterAutospacing="1"/>
            </w:pPr>
            <w:r>
              <w:rPr>
                <w:color w:val="000000"/>
                <w:sz w:val="22"/>
              </w:rPr>
              <w:t>Persons Assisted</w:t>
            </w:r>
          </w:p>
        </w:tc>
        <w:tc>
          <w:tcPr>
            <w:tcW w:w="0" w:type="auto"/>
            <w:vAlign w:val="center"/>
          </w:tcPr>
          <w:p w14:paraId="76216E43" w14:textId="77777777" w:rsidR="00E049BA" w:rsidRDefault="002C06ED">
            <w:pPr>
              <w:spacing w:beforeAutospacing="1" w:afterAutospacing="1"/>
            </w:pPr>
            <w:r>
              <w:rPr>
                <w:color w:val="000000"/>
                <w:sz w:val="22"/>
              </w:rPr>
              <w:t>5000</w:t>
            </w:r>
          </w:p>
        </w:tc>
        <w:tc>
          <w:tcPr>
            <w:tcW w:w="0" w:type="auto"/>
            <w:vAlign w:val="center"/>
          </w:tcPr>
          <w:p w14:paraId="7B8FF9F2" w14:textId="77777777" w:rsidR="00E049BA" w:rsidRDefault="002C06ED">
            <w:pPr>
              <w:spacing w:beforeAutospacing="1" w:afterAutospacing="1"/>
            </w:pPr>
            <w:r>
              <w:rPr>
                <w:color w:val="000000"/>
                <w:sz w:val="22"/>
              </w:rPr>
              <w:t>7954</w:t>
            </w:r>
          </w:p>
        </w:tc>
        <w:tc>
          <w:tcPr>
            <w:tcW w:w="0" w:type="auto"/>
            <w:vAlign w:val="center"/>
          </w:tcPr>
          <w:p w14:paraId="5D74B19F" w14:textId="77777777" w:rsidR="00E049BA" w:rsidRDefault="002C06ED">
            <w:pPr>
              <w:spacing w:beforeAutospacing="1" w:afterAutospacing="1"/>
            </w:pPr>
            <w:r>
              <w:rPr>
                <w:color w:val="000000"/>
                <w:sz w:val="22"/>
              </w:rPr>
              <w:t xml:space="preserve">       159.08%</w:t>
            </w:r>
          </w:p>
        </w:tc>
        <w:tc>
          <w:tcPr>
            <w:tcW w:w="0" w:type="auto"/>
            <w:vAlign w:val="center"/>
          </w:tcPr>
          <w:p w14:paraId="60CF1293" w14:textId="77777777" w:rsidR="00E049BA" w:rsidRDefault="002C06ED">
            <w:pPr>
              <w:spacing w:beforeAutospacing="1" w:afterAutospacing="1"/>
            </w:pPr>
            <w:r>
              <w:rPr>
                <w:color w:val="000000"/>
                <w:sz w:val="22"/>
              </w:rPr>
              <w:t>0</w:t>
            </w:r>
          </w:p>
        </w:tc>
        <w:tc>
          <w:tcPr>
            <w:tcW w:w="0" w:type="auto"/>
            <w:vAlign w:val="center"/>
          </w:tcPr>
          <w:p w14:paraId="03088E3D" w14:textId="77777777" w:rsidR="00E049BA" w:rsidRDefault="002C06ED">
            <w:pPr>
              <w:spacing w:beforeAutospacing="1" w:afterAutospacing="1"/>
            </w:pPr>
            <w:r>
              <w:rPr>
                <w:color w:val="000000"/>
                <w:sz w:val="22"/>
              </w:rPr>
              <w:t>2381</w:t>
            </w:r>
          </w:p>
        </w:tc>
        <w:tc>
          <w:tcPr>
            <w:tcW w:w="0" w:type="auto"/>
            <w:vAlign w:val="center"/>
          </w:tcPr>
          <w:p w14:paraId="7A455ECC" w14:textId="77777777" w:rsidR="00E049BA" w:rsidRDefault="002C06ED">
            <w:pPr>
              <w:spacing w:beforeAutospacing="1" w:afterAutospacing="1"/>
            </w:pPr>
            <w:r>
              <w:rPr>
                <w:color w:val="000000"/>
                <w:sz w:val="22"/>
              </w:rPr>
              <w:t xml:space="preserve"> </w:t>
            </w:r>
          </w:p>
        </w:tc>
      </w:tr>
      <w:tr w:rsidR="00E049BA" w14:paraId="59D5F8E9" w14:textId="77777777">
        <w:trPr>
          <w:cantSplit/>
        </w:trPr>
        <w:tc>
          <w:tcPr>
            <w:tcW w:w="0" w:type="auto"/>
            <w:vAlign w:val="center"/>
          </w:tcPr>
          <w:p w14:paraId="49702995" w14:textId="77777777" w:rsidR="00E049BA" w:rsidRDefault="002C06ED">
            <w:pPr>
              <w:spacing w:beforeAutospacing="1" w:afterAutospacing="1"/>
            </w:pPr>
            <w:r>
              <w:rPr>
                <w:color w:val="000000"/>
                <w:sz w:val="22"/>
              </w:rPr>
              <w:t>Public Services</w:t>
            </w:r>
          </w:p>
        </w:tc>
        <w:tc>
          <w:tcPr>
            <w:tcW w:w="0" w:type="auto"/>
            <w:vAlign w:val="center"/>
          </w:tcPr>
          <w:p w14:paraId="6EF807CD" w14:textId="77777777" w:rsidR="00E049BA" w:rsidRDefault="002C06ED">
            <w:pPr>
              <w:spacing w:beforeAutospacing="1" w:afterAutospacing="1"/>
            </w:pPr>
            <w:r>
              <w:rPr>
                <w:color w:val="000000"/>
                <w:sz w:val="22"/>
              </w:rPr>
              <w:t>Non-Homeless Special Needs</w:t>
            </w:r>
            <w:r>
              <w:rPr>
                <w:color w:val="000000"/>
                <w:sz w:val="22"/>
              </w:rPr>
              <w:br/>
              <w:t>Non-Housing Community Development</w:t>
            </w:r>
            <w:r>
              <w:rPr>
                <w:color w:val="000000"/>
                <w:sz w:val="22"/>
              </w:rPr>
              <w:br/>
              <w:t>Public Services</w:t>
            </w:r>
          </w:p>
        </w:tc>
        <w:tc>
          <w:tcPr>
            <w:tcW w:w="0" w:type="auto"/>
            <w:vAlign w:val="center"/>
          </w:tcPr>
          <w:p w14:paraId="3C503909" w14:textId="77777777" w:rsidR="00E049BA" w:rsidRDefault="002C06ED">
            <w:pPr>
              <w:spacing w:beforeAutospacing="1" w:afterAutospacing="1"/>
            </w:pPr>
            <w:r>
              <w:rPr>
                <w:color w:val="000000"/>
                <w:sz w:val="22"/>
              </w:rPr>
              <w:t>CDBG: $</w:t>
            </w:r>
          </w:p>
        </w:tc>
        <w:tc>
          <w:tcPr>
            <w:tcW w:w="0" w:type="auto"/>
            <w:vAlign w:val="center"/>
          </w:tcPr>
          <w:p w14:paraId="6CA8E7F5" w14:textId="77777777" w:rsidR="00E049BA" w:rsidRDefault="002C06ED">
            <w:pPr>
              <w:spacing w:beforeAutospacing="1" w:afterAutospacing="1"/>
            </w:pPr>
            <w:r>
              <w:rPr>
                <w:color w:val="000000"/>
                <w:sz w:val="22"/>
              </w:rPr>
              <w:t>Public service activities for Low/Moderate Income Housing Benefit</w:t>
            </w:r>
          </w:p>
        </w:tc>
        <w:tc>
          <w:tcPr>
            <w:tcW w:w="0" w:type="auto"/>
            <w:vAlign w:val="center"/>
          </w:tcPr>
          <w:p w14:paraId="26D78C1B" w14:textId="77777777" w:rsidR="00E049BA" w:rsidRDefault="002C06ED">
            <w:pPr>
              <w:spacing w:beforeAutospacing="1" w:afterAutospacing="1"/>
            </w:pPr>
            <w:r>
              <w:rPr>
                <w:color w:val="000000"/>
                <w:sz w:val="22"/>
              </w:rPr>
              <w:t>Households Assisted</w:t>
            </w:r>
          </w:p>
        </w:tc>
        <w:tc>
          <w:tcPr>
            <w:tcW w:w="0" w:type="auto"/>
            <w:vAlign w:val="center"/>
          </w:tcPr>
          <w:p w14:paraId="3626A314" w14:textId="77777777" w:rsidR="00E049BA" w:rsidRDefault="002C06ED">
            <w:pPr>
              <w:spacing w:beforeAutospacing="1" w:afterAutospacing="1"/>
            </w:pPr>
            <w:r>
              <w:rPr>
                <w:color w:val="000000"/>
                <w:sz w:val="22"/>
              </w:rPr>
              <w:t>0</w:t>
            </w:r>
          </w:p>
        </w:tc>
        <w:tc>
          <w:tcPr>
            <w:tcW w:w="0" w:type="auto"/>
            <w:vAlign w:val="center"/>
          </w:tcPr>
          <w:p w14:paraId="034B03BF" w14:textId="77777777" w:rsidR="00E049BA" w:rsidRDefault="002C06ED">
            <w:pPr>
              <w:spacing w:beforeAutospacing="1" w:afterAutospacing="1"/>
            </w:pPr>
            <w:r>
              <w:rPr>
                <w:color w:val="000000"/>
                <w:sz w:val="22"/>
              </w:rPr>
              <w:t>5</w:t>
            </w:r>
          </w:p>
        </w:tc>
        <w:tc>
          <w:tcPr>
            <w:tcW w:w="0" w:type="auto"/>
            <w:vAlign w:val="center"/>
          </w:tcPr>
          <w:p w14:paraId="6FDB62D1" w14:textId="77777777" w:rsidR="00E049BA" w:rsidRDefault="002C06ED">
            <w:pPr>
              <w:spacing w:beforeAutospacing="1" w:afterAutospacing="1"/>
            </w:pPr>
            <w:r>
              <w:rPr>
                <w:color w:val="000000"/>
                <w:sz w:val="22"/>
              </w:rPr>
              <w:t xml:space="preserve"> </w:t>
            </w:r>
          </w:p>
        </w:tc>
        <w:tc>
          <w:tcPr>
            <w:tcW w:w="0" w:type="auto"/>
            <w:vAlign w:val="center"/>
          </w:tcPr>
          <w:p w14:paraId="4E6AE11E" w14:textId="77777777" w:rsidR="00E049BA" w:rsidRDefault="002C06ED">
            <w:pPr>
              <w:spacing w:beforeAutospacing="1" w:afterAutospacing="1"/>
            </w:pPr>
            <w:r>
              <w:rPr>
                <w:color w:val="000000"/>
                <w:sz w:val="22"/>
              </w:rPr>
              <w:t>0</w:t>
            </w:r>
          </w:p>
        </w:tc>
        <w:tc>
          <w:tcPr>
            <w:tcW w:w="0" w:type="auto"/>
            <w:vAlign w:val="center"/>
          </w:tcPr>
          <w:p w14:paraId="754B09BF" w14:textId="77777777" w:rsidR="00E049BA" w:rsidRDefault="002C06ED">
            <w:pPr>
              <w:spacing w:beforeAutospacing="1" w:afterAutospacing="1"/>
            </w:pPr>
            <w:r>
              <w:rPr>
                <w:color w:val="000000"/>
                <w:sz w:val="22"/>
              </w:rPr>
              <w:t>0</w:t>
            </w:r>
          </w:p>
        </w:tc>
        <w:tc>
          <w:tcPr>
            <w:tcW w:w="0" w:type="auto"/>
            <w:vAlign w:val="center"/>
          </w:tcPr>
          <w:p w14:paraId="5AC1DA06" w14:textId="77777777" w:rsidR="00E049BA" w:rsidRDefault="002C06ED">
            <w:pPr>
              <w:spacing w:beforeAutospacing="1" w:afterAutospacing="1"/>
            </w:pPr>
            <w:r>
              <w:rPr>
                <w:color w:val="000000"/>
                <w:sz w:val="22"/>
              </w:rPr>
              <w:t xml:space="preserve"> </w:t>
            </w:r>
          </w:p>
        </w:tc>
      </w:tr>
      <w:tr w:rsidR="00E049BA" w14:paraId="78917D64" w14:textId="77777777">
        <w:trPr>
          <w:cantSplit/>
        </w:trPr>
        <w:tc>
          <w:tcPr>
            <w:tcW w:w="0" w:type="auto"/>
            <w:vAlign w:val="center"/>
          </w:tcPr>
          <w:p w14:paraId="00BAEF98" w14:textId="77777777" w:rsidR="00E049BA" w:rsidRDefault="002C06ED">
            <w:pPr>
              <w:spacing w:beforeAutospacing="1" w:afterAutospacing="1"/>
            </w:pPr>
            <w:r>
              <w:rPr>
                <w:color w:val="000000"/>
                <w:sz w:val="22"/>
              </w:rPr>
              <w:lastRenderedPageBreak/>
              <w:t>Public Services</w:t>
            </w:r>
          </w:p>
        </w:tc>
        <w:tc>
          <w:tcPr>
            <w:tcW w:w="0" w:type="auto"/>
            <w:vAlign w:val="center"/>
          </w:tcPr>
          <w:p w14:paraId="1E8651BE" w14:textId="77777777" w:rsidR="00E049BA" w:rsidRDefault="002C06ED">
            <w:pPr>
              <w:spacing w:beforeAutospacing="1" w:afterAutospacing="1"/>
            </w:pPr>
            <w:r>
              <w:rPr>
                <w:color w:val="000000"/>
                <w:sz w:val="22"/>
              </w:rPr>
              <w:t>Non-Homeless Special Needs</w:t>
            </w:r>
            <w:r>
              <w:rPr>
                <w:color w:val="000000"/>
                <w:sz w:val="22"/>
              </w:rPr>
              <w:br/>
              <w:t>Non-Housing Community Development</w:t>
            </w:r>
            <w:r>
              <w:rPr>
                <w:color w:val="000000"/>
                <w:sz w:val="22"/>
              </w:rPr>
              <w:br/>
              <w:t>Public Services</w:t>
            </w:r>
          </w:p>
        </w:tc>
        <w:tc>
          <w:tcPr>
            <w:tcW w:w="0" w:type="auto"/>
            <w:vAlign w:val="center"/>
          </w:tcPr>
          <w:p w14:paraId="21FAB05B" w14:textId="77777777" w:rsidR="00E049BA" w:rsidRDefault="002C06ED">
            <w:pPr>
              <w:spacing w:beforeAutospacing="1" w:afterAutospacing="1"/>
            </w:pPr>
            <w:r>
              <w:rPr>
                <w:color w:val="000000"/>
                <w:sz w:val="22"/>
              </w:rPr>
              <w:t>CDBG: $</w:t>
            </w:r>
          </w:p>
        </w:tc>
        <w:tc>
          <w:tcPr>
            <w:tcW w:w="0" w:type="auto"/>
            <w:vAlign w:val="center"/>
          </w:tcPr>
          <w:p w14:paraId="294C593B" w14:textId="77777777" w:rsidR="00E049BA" w:rsidRDefault="002C06ED">
            <w:pPr>
              <w:spacing w:beforeAutospacing="1" w:afterAutospacing="1"/>
            </w:pPr>
            <w:r>
              <w:rPr>
                <w:color w:val="000000"/>
                <w:sz w:val="22"/>
              </w:rPr>
              <w:t>Direct Financial Assistance to Homebuyers</w:t>
            </w:r>
          </w:p>
        </w:tc>
        <w:tc>
          <w:tcPr>
            <w:tcW w:w="0" w:type="auto"/>
            <w:vAlign w:val="center"/>
          </w:tcPr>
          <w:p w14:paraId="7107F72C" w14:textId="77777777" w:rsidR="00E049BA" w:rsidRDefault="002C06ED">
            <w:pPr>
              <w:spacing w:beforeAutospacing="1" w:afterAutospacing="1"/>
            </w:pPr>
            <w:r>
              <w:rPr>
                <w:color w:val="000000"/>
                <w:sz w:val="22"/>
              </w:rPr>
              <w:t>Households Assisted</w:t>
            </w:r>
          </w:p>
        </w:tc>
        <w:tc>
          <w:tcPr>
            <w:tcW w:w="0" w:type="auto"/>
            <w:vAlign w:val="center"/>
          </w:tcPr>
          <w:p w14:paraId="59A24729" w14:textId="77777777" w:rsidR="00E049BA" w:rsidRDefault="002C06ED">
            <w:pPr>
              <w:spacing w:beforeAutospacing="1" w:afterAutospacing="1"/>
            </w:pPr>
            <w:r>
              <w:rPr>
                <w:color w:val="000000"/>
                <w:sz w:val="22"/>
              </w:rPr>
              <w:t>0</w:t>
            </w:r>
          </w:p>
        </w:tc>
        <w:tc>
          <w:tcPr>
            <w:tcW w:w="0" w:type="auto"/>
            <w:vAlign w:val="center"/>
          </w:tcPr>
          <w:p w14:paraId="4190CEFB" w14:textId="77777777" w:rsidR="00E049BA" w:rsidRDefault="002C06ED">
            <w:pPr>
              <w:spacing w:beforeAutospacing="1" w:afterAutospacing="1"/>
            </w:pPr>
            <w:r>
              <w:rPr>
                <w:color w:val="000000"/>
                <w:sz w:val="22"/>
              </w:rPr>
              <w:t>0</w:t>
            </w:r>
          </w:p>
        </w:tc>
        <w:tc>
          <w:tcPr>
            <w:tcW w:w="0" w:type="auto"/>
            <w:vAlign w:val="center"/>
          </w:tcPr>
          <w:p w14:paraId="6B6139EA" w14:textId="77777777" w:rsidR="00E049BA" w:rsidRDefault="002C06ED">
            <w:pPr>
              <w:spacing w:beforeAutospacing="1" w:afterAutospacing="1"/>
            </w:pPr>
            <w:r>
              <w:rPr>
                <w:color w:val="000000"/>
                <w:sz w:val="22"/>
              </w:rPr>
              <w:t xml:space="preserve"> </w:t>
            </w:r>
          </w:p>
        </w:tc>
        <w:tc>
          <w:tcPr>
            <w:tcW w:w="0" w:type="auto"/>
            <w:vAlign w:val="center"/>
          </w:tcPr>
          <w:p w14:paraId="0BF7B1D5" w14:textId="77777777" w:rsidR="00E049BA" w:rsidRDefault="002C06ED">
            <w:pPr>
              <w:spacing w:beforeAutospacing="1" w:afterAutospacing="1"/>
            </w:pPr>
            <w:r>
              <w:rPr>
                <w:color w:val="000000"/>
                <w:sz w:val="22"/>
              </w:rPr>
              <w:t>0</w:t>
            </w:r>
          </w:p>
        </w:tc>
        <w:tc>
          <w:tcPr>
            <w:tcW w:w="0" w:type="auto"/>
            <w:vAlign w:val="center"/>
          </w:tcPr>
          <w:p w14:paraId="386DFA8B" w14:textId="77777777" w:rsidR="00E049BA" w:rsidRDefault="002C06ED">
            <w:pPr>
              <w:spacing w:beforeAutospacing="1" w:afterAutospacing="1"/>
            </w:pPr>
            <w:r>
              <w:rPr>
                <w:color w:val="000000"/>
                <w:sz w:val="22"/>
              </w:rPr>
              <w:t>0</w:t>
            </w:r>
          </w:p>
        </w:tc>
        <w:tc>
          <w:tcPr>
            <w:tcW w:w="0" w:type="auto"/>
            <w:vAlign w:val="center"/>
          </w:tcPr>
          <w:p w14:paraId="6E3168E1" w14:textId="77777777" w:rsidR="00E049BA" w:rsidRDefault="002C06ED">
            <w:pPr>
              <w:spacing w:beforeAutospacing="1" w:afterAutospacing="1"/>
            </w:pPr>
            <w:r>
              <w:rPr>
                <w:color w:val="000000"/>
                <w:sz w:val="22"/>
              </w:rPr>
              <w:t xml:space="preserve"> </w:t>
            </w:r>
          </w:p>
        </w:tc>
      </w:tr>
      <w:tr w:rsidR="00E049BA" w14:paraId="3668B38A" w14:textId="77777777">
        <w:trPr>
          <w:cantSplit/>
        </w:trPr>
        <w:tc>
          <w:tcPr>
            <w:tcW w:w="0" w:type="auto"/>
            <w:vAlign w:val="center"/>
          </w:tcPr>
          <w:p w14:paraId="008456B3" w14:textId="77777777" w:rsidR="00E049BA" w:rsidRDefault="002C06ED">
            <w:pPr>
              <w:spacing w:beforeAutospacing="1" w:afterAutospacing="1"/>
            </w:pPr>
            <w:r>
              <w:rPr>
                <w:color w:val="000000"/>
                <w:sz w:val="22"/>
              </w:rPr>
              <w:t>Public Services</w:t>
            </w:r>
          </w:p>
        </w:tc>
        <w:tc>
          <w:tcPr>
            <w:tcW w:w="0" w:type="auto"/>
            <w:vAlign w:val="center"/>
          </w:tcPr>
          <w:p w14:paraId="6FFEBDC2" w14:textId="77777777" w:rsidR="00E049BA" w:rsidRDefault="002C06ED">
            <w:pPr>
              <w:spacing w:beforeAutospacing="1" w:afterAutospacing="1"/>
            </w:pPr>
            <w:r>
              <w:rPr>
                <w:color w:val="000000"/>
                <w:sz w:val="22"/>
              </w:rPr>
              <w:t>Non-Homeless Special Needs</w:t>
            </w:r>
            <w:r>
              <w:rPr>
                <w:color w:val="000000"/>
                <w:sz w:val="22"/>
              </w:rPr>
              <w:br/>
              <w:t>Non-Housing Community Development</w:t>
            </w:r>
            <w:r>
              <w:rPr>
                <w:color w:val="000000"/>
                <w:sz w:val="22"/>
              </w:rPr>
              <w:br/>
              <w:t>Public Services</w:t>
            </w:r>
          </w:p>
        </w:tc>
        <w:tc>
          <w:tcPr>
            <w:tcW w:w="0" w:type="auto"/>
            <w:vAlign w:val="center"/>
          </w:tcPr>
          <w:p w14:paraId="1AC2A62E" w14:textId="77777777" w:rsidR="00E049BA" w:rsidRDefault="002C06ED">
            <w:pPr>
              <w:spacing w:beforeAutospacing="1" w:afterAutospacing="1"/>
            </w:pPr>
            <w:r>
              <w:rPr>
                <w:color w:val="000000"/>
                <w:sz w:val="22"/>
              </w:rPr>
              <w:t>CDBG: $</w:t>
            </w:r>
          </w:p>
        </w:tc>
        <w:tc>
          <w:tcPr>
            <w:tcW w:w="0" w:type="auto"/>
            <w:vAlign w:val="center"/>
          </w:tcPr>
          <w:p w14:paraId="386DE48A" w14:textId="77777777" w:rsidR="00E049BA" w:rsidRDefault="002C06ED">
            <w:pPr>
              <w:spacing w:beforeAutospacing="1" w:afterAutospacing="1"/>
            </w:pPr>
            <w:r>
              <w:rPr>
                <w:color w:val="000000"/>
                <w:sz w:val="22"/>
              </w:rPr>
              <w:t>Tenant-based rental assistance / Rapid Rehousing</w:t>
            </w:r>
          </w:p>
        </w:tc>
        <w:tc>
          <w:tcPr>
            <w:tcW w:w="0" w:type="auto"/>
            <w:vAlign w:val="center"/>
          </w:tcPr>
          <w:p w14:paraId="6AE553F4" w14:textId="77777777" w:rsidR="00E049BA" w:rsidRDefault="002C06ED">
            <w:pPr>
              <w:spacing w:beforeAutospacing="1" w:afterAutospacing="1"/>
            </w:pPr>
            <w:r>
              <w:rPr>
                <w:color w:val="000000"/>
                <w:sz w:val="22"/>
              </w:rPr>
              <w:t>Households Assisted</w:t>
            </w:r>
          </w:p>
        </w:tc>
        <w:tc>
          <w:tcPr>
            <w:tcW w:w="0" w:type="auto"/>
            <w:vAlign w:val="center"/>
          </w:tcPr>
          <w:p w14:paraId="7AD29EF7" w14:textId="77777777" w:rsidR="00E049BA" w:rsidRDefault="002C06ED">
            <w:pPr>
              <w:spacing w:beforeAutospacing="1" w:afterAutospacing="1"/>
            </w:pPr>
            <w:r>
              <w:rPr>
                <w:color w:val="000000"/>
                <w:sz w:val="22"/>
              </w:rPr>
              <w:t>0</w:t>
            </w:r>
          </w:p>
        </w:tc>
        <w:tc>
          <w:tcPr>
            <w:tcW w:w="0" w:type="auto"/>
            <w:vAlign w:val="center"/>
          </w:tcPr>
          <w:p w14:paraId="7D295626" w14:textId="77777777" w:rsidR="00E049BA" w:rsidRDefault="002C06ED">
            <w:pPr>
              <w:spacing w:beforeAutospacing="1" w:afterAutospacing="1"/>
            </w:pPr>
            <w:r>
              <w:rPr>
                <w:color w:val="000000"/>
                <w:sz w:val="22"/>
              </w:rPr>
              <w:t>5</w:t>
            </w:r>
          </w:p>
        </w:tc>
        <w:tc>
          <w:tcPr>
            <w:tcW w:w="0" w:type="auto"/>
            <w:vAlign w:val="center"/>
          </w:tcPr>
          <w:p w14:paraId="35DAE9B7" w14:textId="77777777" w:rsidR="00E049BA" w:rsidRDefault="002C06ED">
            <w:pPr>
              <w:spacing w:beforeAutospacing="1" w:afterAutospacing="1"/>
            </w:pPr>
            <w:r>
              <w:rPr>
                <w:color w:val="000000"/>
                <w:sz w:val="22"/>
              </w:rPr>
              <w:t xml:space="preserve"> </w:t>
            </w:r>
          </w:p>
        </w:tc>
        <w:tc>
          <w:tcPr>
            <w:tcW w:w="0" w:type="auto"/>
            <w:vAlign w:val="center"/>
          </w:tcPr>
          <w:p w14:paraId="2A44D957" w14:textId="77777777" w:rsidR="00E049BA" w:rsidRDefault="002C06ED">
            <w:pPr>
              <w:spacing w:beforeAutospacing="1" w:afterAutospacing="1"/>
            </w:pPr>
            <w:r>
              <w:rPr>
                <w:color w:val="000000"/>
                <w:sz w:val="22"/>
              </w:rPr>
              <w:t>0</w:t>
            </w:r>
          </w:p>
        </w:tc>
        <w:tc>
          <w:tcPr>
            <w:tcW w:w="0" w:type="auto"/>
            <w:vAlign w:val="center"/>
          </w:tcPr>
          <w:p w14:paraId="2E529980" w14:textId="77777777" w:rsidR="00E049BA" w:rsidRDefault="002C06ED">
            <w:pPr>
              <w:spacing w:beforeAutospacing="1" w:afterAutospacing="1"/>
            </w:pPr>
            <w:r>
              <w:rPr>
                <w:color w:val="000000"/>
                <w:sz w:val="22"/>
              </w:rPr>
              <w:t>5</w:t>
            </w:r>
          </w:p>
        </w:tc>
        <w:tc>
          <w:tcPr>
            <w:tcW w:w="0" w:type="auto"/>
            <w:vAlign w:val="center"/>
          </w:tcPr>
          <w:p w14:paraId="31D79480" w14:textId="77777777" w:rsidR="00E049BA" w:rsidRDefault="002C06ED">
            <w:pPr>
              <w:spacing w:beforeAutospacing="1" w:afterAutospacing="1"/>
            </w:pPr>
            <w:r>
              <w:rPr>
                <w:color w:val="000000"/>
                <w:sz w:val="22"/>
              </w:rPr>
              <w:t xml:space="preserve"> </w:t>
            </w:r>
          </w:p>
        </w:tc>
      </w:tr>
      <w:tr w:rsidR="00E049BA" w14:paraId="5518FD50" w14:textId="77777777">
        <w:trPr>
          <w:cantSplit/>
        </w:trPr>
        <w:tc>
          <w:tcPr>
            <w:tcW w:w="0" w:type="auto"/>
            <w:vAlign w:val="center"/>
          </w:tcPr>
          <w:p w14:paraId="69BC8215" w14:textId="77777777" w:rsidR="00E049BA" w:rsidRDefault="002C06ED">
            <w:pPr>
              <w:spacing w:beforeAutospacing="1" w:afterAutospacing="1"/>
            </w:pPr>
            <w:r>
              <w:rPr>
                <w:color w:val="000000"/>
                <w:sz w:val="22"/>
              </w:rPr>
              <w:t>Public Services</w:t>
            </w:r>
          </w:p>
        </w:tc>
        <w:tc>
          <w:tcPr>
            <w:tcW w:w="0" w:type="auto"/>
            <w:vAlign w:val="center"/>
          </w:tcPr>
          <w:p w14:paraId="7FD74E5F" w14:textId="77777777" w:rsidR="00E049BA" w:rsidRDefault="002C06ED">
            <w:pPr>
              <w:spacing w:beforeAutospacing="1" w:afterAutospacing="1"/>
            </w:pPr>
            <w:r>
              <w:rPr>
                <w:color w:val="000000"/>
                <w:sz w:val="22"/>
              </w:rPr>
              <w:t>Non-Homeless Special Needs</w:t>
            </w:r>
            <w:r>
              <w:rPr>
                <w:color w:val="000000"/>
                <w:sz w:val="22"/>
              </w:rPr>
              <w:br/>
              <w:t>Non-Housing Community Development</w:t>
            </w:r>
            <w:r>
              <w:rPr>
                <w:color w:val="000000"/>
                <w:sz w:val="22"/>
              </w:rPr>
              <w:br/>
              <w:t>Public Services</w:t>
            </w:r>
          </w:p>
        </w:tc>
        <w:tc>
          <w:tcPr>
            <w:tcW w:w="0" w:type="auto"/>
            <w:vAlign w:val="center"/>
          </w:tcPr>
          <w:p w14:paraId="01E67E30" w14:textId="77777777" w:rsidR="00E049BA" w:rsidRDefault="002C06ED">
            <w:pPr>
              <w:spacing w:beforeAutospacing="1" w:afterAutospacing="1"/>
            </w:pPr>
            <w:r>
              <w:rPr>
                <w:color w:val="000000"/>
                <w:sz w:val="22"/>
              </w:rPr>
              <w:t>CDBG: $</w:t>
            </w:r>
          </w:p>
        </w:tc>
        <w:tc>
          <w:tcPr>
            <w:tcW w:w="0" w:type="auto"/>
            <w:vAlign w:val="center"/>
          </w:tcPr>
          <w:p w14:paraId="0283ABAB" w14:textId="77777777" w:rsidR="00E049BA" w:rsidRDefault="002C06ED">
            <w:pPr>
              <w:spacing w:beforeAutospacing="1" w:afterAutospacing="1"/>
            </w:pPr>
            <w:r>
              <w:rPr>
                <w:color w:val="000000"/>
                <w:sz w:val="22"/>
              </w:rPr>
              <w:t>Other</w:t>
            </w:r>
          </w:p>
        </w:tc>
        <w:tc>
          <w:tcPr>
            <w:tcW w:w="0" w:type="auto"/>
            <w:vAlign w:val="center"/>
          </w:tcPr>
          <w:p w14:paraId="105D6364" w14:textId="77777777" w:rsidR="00E049BA" w:rsidRDefault="002C06ED">
            <w:pPr>
              <w:spacing w:beforeAutospacing="1" w:afterAutospacing="1"/>
            </w:pPr>
            <w:r>
              <w:rPr>
                <w:color w:val="000000"/>
                <w:sz w:val="22"/>
              </w:rPr>
              <w:t>Other</w:t>
            </w:r>
          </w:p>
        </w:tc>
        <w:tc>
          <w:tcPr>
            <w:tcW w:w="0" w:type="auto"/>
            <w:vAlign w:val="center"/>
          </w:tcPr>
          <w:p w14:paraId="69BABA81" w14:textId="77777777" w:rsidR="00E049BA" w:rsidRDefault="002C06ED">
            <w:pPr>
              <w:spacing w:beforeAutospacing="1" w:afterAutospacing="1"/>
            </w:pPr>
            <w:r>
              <w:rPr>
                <w:color w:val="000000"/>
                <w:sz w:val="22"/>
              </w:rPr>
              <w:t>0</w:t>
            </w:r>
          </w:p>
        </w:tc>
        <w:tc>
          <w:tcPr>
            <w:tcW w:w="0" w:type="auto"/>
            <w:vAlign w:val="center"/>
          </w:tcPr>
          <w:p w14:paraId="3B91CE82" w14:textId="77777777" w:rsidR="00E049BA" w:rsidRDefault="002C06ED">
            <w:pPr>
              <w:spacing w:beforeAutospacing="1" w:afterAutospacing="1"/>
            </w:pPr>
            <w:r>
              <w:rPr>
                <w:color w:val="000000"/>
                <w:sz w:val="22"/>
              </w:rPr>
              <w:t>0</w:t>
            </w:r>
          </w:p>
        </w:tc>
        <w:tc>
          <w:tcPr>
            <w:tcW w:w="0" w:type="auto"/>
            <w:vAlign w:val="center"/>
          </w:tcPr>
          <w:p w14:paraId="63AC2B37" w14:textId="77777777" w:rsidR="00E049BA" w:rsidRDefault="002C06ED">
            <w:pPr>
              <w:spacing w:beforeAutospacing="1" w:afterAutospacing="1"/>
            </w:pPr>
            <w:r>
              <w:rPr>
                <w:color w:val="000000"/>
                <w:sz w:val="22"/>
              </w:rPr>
              <w:t xml:space="preserve"> </w:t>
            </w:r>
          </w:p>
        </w:tc>
        <w:tc>
          <w:tcPr>
            <w:tcW w:w="0" w:type="auto"/>
            <w:vAlign w:val="center"/>
          </w:tcPr>
          <w:p w14:paraId="5F02BC96" w14:textId="77777777" w:rsidR="00E049BA" w:rsidRDefault="002C06ED">
            <w:pPr>
              <w:spacing w:beforeAutospacing="1" w:afterAutospacing="1"/>
            </w:pPr>
            <w:r>
              <w:rPr>
                <w:color w:val="000000"/>
                <w:sz w:val="22"/>
              </w:rPr>
              <w:t>1200</w:t>
            </w:r>
          </w:p>
        </w:tc>
        <w:tc>
          <w:tcPr>
            <w:tcW w:w="0" w:type="auto"/>
            <w:vAlign w:val="center"/>
          </w:tcPr>
          <w:p w14:paraId="0709BE02" w14:textId="77777777" w:rsidR="00E049BA" w:rsidRDefault="002C06ED">
            <w:pPr>
              <w:spacing w:beforeAutospacing="1" w:afterAutospacing="1"/>
            </w:pPr>
            <w:r>
              <w:rPr>
                <w:color w:val="000000"/>
                <w:sz w:val="22"/>
              </w:rPr>
              <w:t>0</w:t>
            </w:r>
          </w:p>
        </w:tc>
        <w:tc>
          <w:tcPr>
            <w:tcW w:w="0" w:type="auto"/>
            <w:vAlign w:val="center"/>
          </w:tcPr>
          <w:p w14:paraId="1BCAFB57" w14:textId="77777777" w:rsidR="00E049BA" w:rsidRDefault="002C06ED">
            <w:pPr>
              <w:spacing w:beforeAutospacing="1" w:afterAutospacing="1"/>
            </w:pPr>
            <w:r>
              <w:rPr>
                <w:color w:val="000000"/>
                <w:sz w:val="22"/>
              </w:rPr>
              <w:t xml:space="preserve">         0.00%</w:t>
            </w:r>
          </w:p>
        </w:tc>
      </w:tr>
    </w:tbl>
    <w:p w14:paraId="3ABAD58E"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Accomplishments – Program Year &amp; Strategic Plan to Date</w:t>
      </w:r>
    </w:p>
    <w:p w14:paraId="2C9F8D37" w14:textId="77777777" w:rsidR="00E049BA" w:rsidRDefault="00E049BA"/>
    <w:p w14:paraId="7FF94EA5" w14:textId="77777777" w:rsidR="00E049BA" w:rsidRDefault="00E049BA">
      <w:pPr>
        <w:spacing w:after="0" w:line="240" w:lineRule="auto"/>
      </w:pPr>
    </w:p>
    <w:p w14:paraId="1A4AFDB7" w14:textId="77777777" w:rsidR="00E049BA" w:rsidRDefault="002C06ED">
      <w:pPr>
        <w:keepNext/>
        <w:widowControl w:val="0"/>
        <w:rPr>
          <w:b/>
          <w:sz w:val="24"/>
          <w:szCs w:val="24"/>
        </w:rPr>
      </w:pPr>
      <w:r>
        <w:rPr>
          <w:b/>
          <w:sz w:val="24"/>
          <w:szCs w:val="24"/>
        </w:rPr>
        <w:t>Assess how the jurisdiction’s use of funds, particularly CDBG, addresses the priorities and specific objectives identified in the plan, giving special attention to the highest priority activities identified.</w:t>
      </w:r>
    </w:p>
    <w:p w14:paraId="49F40D01" w14:textId="77777777" w:rsidR="00E049BA" w:rsidRDefault="002C06ED">
      <w:pPr>
        <w:keepNext/>
        <w:widowControl w:val="0"/>
        <w:spacing w:beforeAutospacing="1" w:afterAutospacing="1"/>
      </w:pPr>
      <w:r>
        <w:t>The activities in program year 2024, the fifth year of the 5-year Consolidated Plan, addressed the highest priorities in the 5-year plan. During 2023, Cranston purchased a home and rehabilitated it. In 2024, house was sold to an income eligible family, a widow and her young son.</w:t>
      </w:r>
    </w:p>
    <w:p w14:paraId="32A3A9B1" w14:textId="77777777" w:rsidR="00E049BA" w:rsidRDefault="00E049BA">
      <w:pPr>
        <w:keepNext/>
        <w:widowControl w:val="0"/>
        <w:spacing w:line="204" w:lineRule="auto"/>
        <w:rPr>
          <w:b/>
          <w:sz w:val="24"/>
          <w:szCs w:val="24"/>
        </w:rPr>
      </w:pPr>
    </w:p>
    <w:p w14:paraId="4BB1CC55" w14:textId="77777777" w:rsidR="00E049BA" w:rsidRDefault="00E049BA">
      <w:pPr>
        <w:rPr>
          <w:b/>
          <w:i/>
          <w:sz w:val="26"/>
          <w:szCs w:val="26"/>
        </w:rPr>
        <w:sectPr w:rsidR="00E049BA">
          <w:footerReference w:type="default" r:id="rId8"/>
          <w:pgSz w:w="15840" w:h="12240" w:orient="landscape"/>
          <w:pgMar w:top="1440" w:right="1440" w:bottom="1440" w:left="1440" w:header="720" w:footer="720" w:gutter="0"/>
          <w:cols w:space="720"/>
          <w:docGrid w:linePitch="360"/>
        </w:sectPr>
      </w:pPr>
    </w:p>
    <w:p w14:paraId="7EF8BB55" w14:textId="77777777" w:rsidR="00E049BA" w:rsidRDefault="002C06ED">
      <w:pPr>
        <w:pStyle w:val="Heading2"/>
        <w:rPr>
          <w:rFonts w:asciiTheme="minorHAnsi" w:hAnsiTheme="minorHAnsi"/>
          <w:i w:val="0"/>
        </w:rPr>
      </w:pPr>
      <w:bookmarkStart w:id="0" w:name="_Toc309810474"/>
      <w:r>
        <w:rPr>
          <w:rFonts w:asciiTheme="minorHAnsi" w:hAnsiTheme="minorHAnsi"/>
          <w:i w:val="0"/>
        </w:rPr>
        <w:lastRenderedPageBreak/>
        <w:t>CR-10 - Racial and Ethnic composition of families assisted</w:t>
      </w:r>
    </w:p>
    <w:p w14:paraId="27379FA5" w14:textId="77777777" w:rsidR="00E049BA" w:rsidRDefault="002C06ED">
      <w:pPr>
        <w:keepNext/>
        <w:widowControl w:val="0"/>
        <w:rPr>
          <w:b/>
          <w:sz w:val="24"/>
          <w:szCs w:val="24"/>
        </w:rPr>
      </w:pPr>
      <w:r>
        <w:rPr>
          <w:b/>
          <w:sz w:val="24"/>
          <w:szCs w:val="24"/>
        </w:rPr>
        <w:t xml:space="preserve">Describe the families assisted (including the racial and ethnic status of families assisted). 91.520(a) </w:t>
      </w:r>
    </w:p>
    <w:p w14:paraId="1BF448D9" w14:textId="77777777" w:rsidR="00E049BA" w:rsidRDefault="00E049BA">
      <w:pPr>
        <w:widowControl w:val="0"/>
        <w:spacing w:after="0" w:line="240" w:lineRule="auto"/>
        <w:rPr>
          <w:b/>
          <w:vanish/>
          <w:sz w:val="24"/>
          <w:szCs w:val="24"/>
        </w:rPr>
      </w:pPr>
    </w:p>
    <w:tbl>
      <w:tblPr>
        <w:tblW w:w="333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tblGrid>
      <w:tr w:rsidR="00E049BA" w14:paraId="4724E7CB" w14:textId="77777777">
        <w:trPr>
          <w:cantSplit/>
          <w:hidden/>
        </w:trPr>
        <w:tc>
          <w:tcPr>
            <w:tcW w:w="3773" w:type="pct"/>
          </w:tcPr>
          <w:p w14:paraId="059B6063" w14:textId="77777777" w:rsidR="00E049BA" w:rsidRDefault="00E049BA">
            <w:pPr>
              <w:widowControl w:val="0"/>
              <w:spacing w:after="0" w:line="240" w:lineRule="auto"/>
              <w:rPr>
                <w:vanish/>
              </w:rPr>
            </w:pPr>
          </w:p>
        </w:tc>
        <w:tc>
          <w:tcPr>
            <w:tcW w:w="1226" w:type="pct"/>
          </w:tcPr>
          <w:p w14:paraId="34CD683E" w14:textId="77777777" w:rsidR="00E049BA" w:rsidRDefault="002C06ED">
            <w:pPr>
              <w:spacing w:after="0"/>
              <w:jc w:val="center"/>
              <w:rPr>
                <w:b/>
              </w:rPr>
            </w:pPr>
            <w:r>
              <w:rPr>
                <w:b/>
              </w:rPr>
              <w:t>CDBG</w:t>
            </w:r>
          </w:p>
        </w:tc>
      </w:tr>
      <w:tr w:rsidR="00E049BA" w14:paraId="7606650B" w14:textId="77777777">
        <w:trPr>
          <w:cantSplit/>
        </w:trPr>
        <w:tc>
          <w:tcPr>
            <w:tcW w:w="4823" w:type="dxa"/>
            <w:vAlign w:val="bottom"/>
          </w:tcPr>
          <w:p w14:paraId="6DDD2558" w14:textId="77777777" w:rsidR="00E049BA" w:rsidRDefault="002C06ED">
            <w:pPr>
              <w:spacing w:beforeAutospacing="1" w:afterAutospacing="1"/>
            </w:pPr>
            <w:r>
              <w:rPr>
                <w:color w:val="000000"/>
              </w:rPr>
              <w:t>White</w:t>
            </w:r>
          </w:p>
        </w:tc>
        <w:tc>
          <w:tcPr>
            <w:tcW w:w="1568" w:type="dxa"/>
            <w:vAlign w:val="bottom"/>
          </w:tcPr>
          <w:p w14:paraId="57EE8F90" w14:textId="77777777" w:rsidR="00E049BA" w:rsidRDefault="002C06ED">
            <w:pPr>
              <w:spacing w:beforeAutospacing="1" w:afterAutospacing="1"/>
              <w:jc w:val="right"/>
            </w:pPr>
            <w:r>
              <w:rPr>
                <w:color w:val="000000"/>
              </w:rPr>
              <w:t>1,328</w:t>
            </w:r>
          </w:p>
        </w:tc>
      </w:tr>
      <w:tr w:rsidR="00E049BA" w14:paraId="32DEA3B9" w14:textId="77777777">
        <w:trPr>
          <w:cantSplit/>
        </w:trPr>
        <w:tc>
          <w:tcPr>
            <w:tcW w:w="4823" w:type="dxa"/>
            <w:vAlign w:val="bottom"/>
          </w:tcPr>
          <w:p w14:paraId="6E5F601D" w14:textId="77777777" w:rsidR="00E049BA" w:rsidRDefault="002C06ED">
            <w:pPr>
              <w:spacing w:beforeAutospacing="1" w:afterAutospacing="1"/>
            </w:pPr>
            <w:r>
              <w:rPr>
                <w:color w:val="000000"/>
              </w:rPr>
              <w:t>Black or African American</w:t>
            </w:r>
          </w:p>
        </w:tc>
        <w:tc>
          <w:tcPr>
            <w:tcW w:w="1568" w:type="dxa"/>
            <w:vAlign w:val="bottom"/>
          </w:tcPr>
          <w:p w14:paraId="5BF721F5" w14:textId="77777777" w:rsidR="00E049BA" w:rsidRDefault="002C06ED">
            <w:pPr>
              <w:spacing w:beforeAutospacing="1" w:afterAutospacing="1"/>
              <w:jc w:val="right"/>
            </w:pPr>
            <w:r>
              <w:rPr>
                <w:color w:val="000000"/>
              </w:rPr>
              <w:t>269</w:t>
            </w:r>
          </w:p>
        </w:tc>
      </w:tr>
      <w:tr w:rsidR="00E049BA" w14:paraId="7F6A3C06" w14:textId="77777777">
        <w:trPr>
          <w:cantSplit/>
        </w:trPr>
        <w:tc>
          <w:tcPr>
            <w:tcW w:w="4823" w:type="dxa"/>
            <w:vAlign w:val="bottom"/>
          </w:tcPr>
          <w:p w14:paraId="223BC361" w14:textId="77777777" w:rsidR="00E049BA" w:rsidRDefault="002C06ED">
            <w:pPr>
              <w:spacing w:beforeAutospacing="1" w:afterAutospacing="1"/>
            </w:pPr>
            <w:r>
              <w:rPr>
                <w:color w:val="000000"/>
              </w:rPr>
              <w:t>Asian</w:t>
            </w:r>
          </w:p>
        </w:tc>
        <w:tc>
          <w:tcPr>
            <w:tcW w:w="1568" w:type="dxa"/>
            <w:vAlign w:val="bottom"/>
          </w:tcPr>
          <w:p w14:paraId="69C32B8A" w14:textId="77777777" w:rsidR="00E049BA" w:rsidRDefault="002C06ED">
            <w:pPr>
              <w:spacing w:beforeAutospacing="1" w:afterAutospacing="1"/>
              <w:jc w:val="right"/>
            </w:pPr>
            <w:r>
              <w:rPr>
                <w:color w:val="000000"/>
              </w:rPr>
              <w:t>242</w:t>
            </w:r>
          </w:p>
        </w:tc>
      </w:tr>
      <w:tr w:rsidR="00E049BA" w14:paraId="2BB46F50" w14:textId="77777777">
        <w:trPr>
          <w:cantSplit/>
        </w:trPr>
        <w:tc>
          <w:tcPr>
            <w:tcW w:w="4823" w:type="dxa"/>
            <w:vAlign w:val="bottom"/>
          </w:tcPr>
          <w:p w14:paraId="298DABCA" w14:textId="77777777" w:rsidR="00E049BA" w:rsidRDefault="002C06ED">
            <w:pPr>
              <w:spacing w:beforeAutospacing="1" w:afterAutospacing="1"/>
            </w:pPr>
            <w:r>
              <w:rPr>
                <w:color w:val="000000"/>
              </w:rPr>
              <w:t>American Indian or American Native</w:t>
            </w:r>
          </w:p>
        </w:tc>
        <w:tc>
          <w:tcPr>
            <w:tcW w:w="1568" w:type="dxa"/>
            <w:vAlign w:val="bottom"/>
          </w:tcPr>
          <w:p w14:paraId="3B0436BB" w14:textId="77777777" w:rsidR="00E049BA" w:rsidRDefault="002C06ED">
            <w:pPr>
              <w:spacing w:beforeAutospacing="1" w:afterAutospacing="1"/>
              <w:jc w:val="right"/>
            </w:pPr>
            <w:r>
              <w:rPr>
                <w:color w:val="000000"/>
              </w:rPr>
              <w:t>16</w:t>
            </w:r>
          </w:p>
        </w:tc>
      </w:tr>
      <w:tr w:rsidR="00E049BA" w14:paraId="289FE956" w14:textId="77777777">
        <w:trPr>
          <w:cantSplit/>
        </w:trPr>
        <w:tc>
          <w:tcPr>
            <w:tcW w:w="4823" w:type="dxa"/>
            <w:vAlign w:val="bottom"/>
          </w:tcPr>
          <w:p w14:paraId="441F1F90" w14:textId="77777777" w:rsidR="00E049BA" w:rsidRDefault="002C06ED">
            <w:pPr>
              <w:spacing w:beforeAutospacing="1" w:afterAutospacing="1"/>
            </w:pPr>
            <w:r>
              <w:rPr>
                <w:color w:val="000000"/>
              </w:rPr>
              <w:t>Native Hawaiian or Other Pacific Islander</w:t>
            </w:r>
          </w:p>
        </w:tc>
        <w:tc>
          <w:tcPr>
            <w:tcW w:w="1568" w:type="dxa"/>
            <w:vAlign w:val="bottom"/>
          </w:tcPr>
          <w:p w14:paraId="790AA66F" w14:textId="77777777" w:rsidR="00E049BA" w:rsidRDefault="002C06ED">
            <w:pPr>
              <w:spacing w:beforeAutospacing="1" w:afterAutospacing="1"/>
              <w:jc w:val="right"/>
            </w:pPr>
            <w:r>
              <w:rPr>
                <w:color w:val="000000"/>
              </w:rPr>
              <w:t>7</w:t>
            </w:r>
          </w:p>
        </w:tc>
      </w:tr>
    </w:tbl>
    <w:p w14:paraId="19C74935" w14:textId="77777777" w:rsidR="00E049BA" w:rsidRDefault="00E049BA">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E049BA" w14:paraId="28098AB2" w14:textId="77777777">
        <w:trPr>
          <w:cantSplit/>
          <w:hidden/>
        </w:trPr>
        <w:tc>
          <w:tcPr>
            <w:tcW w:w="3761" w:type="pct"/>
          </w:tcPr>
          <w:p w14:paraId="0D503C3E" w14:textId="77777777" w:rsidR="00E049BA" w:rsidRDefault="00E049BA">
            <w:pPr>
              <w:widowControl w:val="0"/>
              <w:spacing w:after="0" w:line="240" w:lineRule="auto"/>
              <w:rPr>
                <w:vanish/>
              </w:rPr>
            </w:pPr>
          </w:p>
        </w:tc>
        <w:tc>
          <w:tcPr>
            <w:tcW w:w="1239" w:type="pct"/>
            <w:gridSpan w:val="2"/>
          </w:tcPr>
          <w:p w14:paraId="5A23BCA9" w14:textId="77777777" w:rsidR="00E049BA" w:rsidRDefault="00E049BA">
            <w:pPr>
              <w:widowControl w:val="0"/>
              <w:spacing w:after="0" w:line="240" w:lineRule="auto"/>
              <w:jc w:val="center"/>
              <w:rPr>
                <w:b/>
                <w:vanish/>
              </w:rPr>
            </w:pPr>
          </w:p>
        </w:tc>
      </w:tr>
      <w:tr w:rsidR="00E049BA" w14:paraId="41FC7904" w14:textId="77777777">
        <w:trPr>
          <w:gridAfter w:val="1"/>
          <w:wAfter w:w="21" w:type="dxa"/>
          <w:cantSplit/>
        </w:trPr>
        <w:tc>
          <w:tcPr>
            <w:tcW w:w="4823" w:type="dxa"/>
            <w:vAlign w:val="bottom"/>
          </w:tcPr>
          <w:p w14:paraId="111A8657" w14:textId="77777777" w:rsidR="00E049BA" w:rsidRDefault="002C06ED">
            <w:pPr>
              <w:spacing w:beforeAutospacing="1" w:afterAutospacing="1"/>
            </w:pPr>
            <w:r>
              <w:rPr>
                <w:b/>
                <w:color w:val="000000"/>
              </w:rPr>
              <w:t>Total</w:t>
            </w:r>
          </w:p>
        </w:tc>
        <w:tc>
          <w:tcPr>
            <w:tcW w:w="1568" w:type="dxa"/>
            <w:vAlign w:val="bottom"/>
          </w:tcPr>
          <w:p w14:paraId="41A06982" w14:textId="77777777" w:rsidR="00E049BA" w:rsidRDefault="002C06ED">
            <w:pPr>
              <w:spacing w:beforeAutospacing="1" w:afterAutospacing="1"/>
              <w:jc w:val="right"/>
            </w:pPr>
            <w:r>
              <w:rPr>
                <w:b/>
                <w:color w:val="000000"/>
              </w:rPr>
              <w:t>1,862</w:t>
            </w:r>
          </w:p>
        </w:tc>
      </w:tr>
    </w:tbl>
    <w:p w14:paraId="0DBB71A9" w14:textId="77777777" w:rsidR="00E049BA" w:rsidRDefault="00E049BA">
      <w:pPr>
        <w:pStyle w:val="NoSpacing"/>
        <w:rPr>
          <w:vanish/>
        </w:rPr>
      </w:pPr>
    </w:p>
    <w:tbl>
      <w:tblPr>
        <w:tblW w:w="3343"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03"/>
        <w:gridCol w:w="1528"/>
        <w:gridCol w:w="20"/>
      </w:tblGrid>
      <w:tr w:rsidR="00E049BA" w14:paraId="1A650690" w14:textId="77777777">
        <w:trPr>
          <w:cantSplit/>
          <w:hidden/>
        </w:trPr>
        <w:tc>
          <w:tcPr>
            <w:tcW w:w="3761" w:type="pct"/>
          </w:tcPr>
          <w:p w14:paraId="6B0426C0" w14:textId="77777777" w:rsidR="00E049BA" w:rsidRDefault="00E049BA">
            <w:pPr>
              <w:widowControl w:val="0"/>
              <w:spacing w:after="0" w:line="240" w:lineRule="auto"/>
              <w:rPr>
                <w:vanish/>
              </w:rPr>
            </w:pPr>
          </w:p>
        </w:tc>
        <w:tc>
          <w:tcPr>
            <w:tcW w:w="1239" w:type="pct"/>
            <w:gridSpan w:val="2"/>
          </w:tcPr>
          <w:p w14:paraId="194F8319" w14:textId="77777777" w:rsidR="00E049BA" w:rsidRDefault="00E049BA">
            <w:pPr>
              <w:widowControl w:val="0"/>
              <w:spacing w:after="0" w:line="240" w:lineRule="auto"/>
              <w:jc w:val="center"/>
              <w:rPr>
                <w:b/>
                <w:vanish/>
              </w:rPr>
            </w:pPr>
          </w:p>
        </w:tc>
      </w:tr>
      <w:tr w:rsidR="00E049BA" w14:paraId="5A8E9B48" w14:textId="77777777">
        <w:trPr>
          <w:gridAfter w:val="1"/>
          <w:wAfter w:w="21" w:type="dxa"/>
          <w:cantSplit/>
        </w:trPr>
        <w:tc>
          <w:tcPr>
            <w:tcW w:w="4823" w:type="dxa"/>
            <w:vAlign w:val="bottom"/>
          </w:tcPr>
          <w:p w14:paraId="30B989CC" w14:textId="77777777" w:rsidR="00E049BA" w:rsidRDefault="002C06ED">
            <w:pPr>
              <w:spacing w:beforeAutospacing="1" w:afterAutospacing="1"/>
            </w:pPr>
            <w:r>
              <w:rPr>
                <w:color w:val="000000"/>
              </w:rPr>
              <w:t>Hispanic</w:t>
            </w:r>
          </w:p>
        </w:tc>
        <w:tc>
          <w:tcPr>
            <w:tcW w:w="1568" w:type="dxa"/>
            <w:vAlign w:val="bottom"/>
          </w:tcPr>
          <w:p w14:paraId="58E81586" w14:textId="77777777" w:rsidR="00E049BA" w:rsidRDefault="002C06ED">
            <w:pPr>
              <w:spacing w:beforeAutospacing="1" w:afterAutospacing="1"/>
              <w:jc w:val="right"/>
            </w:pPr>
            <w:r>
              <w:rPr>
                <w:color w:val="000000"/>
              </w:rPr>
              <w:t>141</w:t>
            </w:r>
          </w:p>
        </w:tc>
      </w:tr>
      <w:tr w:rsidR="00E049BA" w14:paraId="07822109" w14:textId="77777777">
        <w:trPr>
          <w:gridAfter w:val="1"/>
          <w:wAfter w:w="21" w:type="dxa"/>
          <w:cantSplit/>
        </w:trPr>
        <w:tc>
          <w:tcPr>
            <w:tcW w:w="4823" w:type="dxa"/>
            <w:vAlign w:val="bottom"/>
          </w:tcPr>
          <w:p w14:paraId="2BE7FEB0" w14:textId="77777777" w:rsidR="00E049BA" w:rsidRDefault="002C06ED">
            <w:pPr>
              <w:spacing w:beforeAutospacing="1" w:afterAutospacing="1"/>
            </w:pPr>
            <w:r>
              <w:rPr>
                <w:color w:val="000000"/>
              </w:rPr>
              <w:t>Not Hispanic</w:t>
            </w:r>
          </w:p>
        </w:tc>
        <w:tc>
          <w:tcPr>
            <w:tcW w:w="1568" w:type="dxa"/>
            <w:vAlign w:val="bottom"/>
          </w:tcPr>
          <w:p w14:paraId="7E225E21" w14:textId="77777777" w:rsidR="00E049BA" w:rsidRDefault="002C06ED">
            <w:pPr>
              <w:spacing w:beforeAutospacing="1" w:afterAutospacing="1"/>
              <w:jc w:val="right"/>
            </w:pPr>
            <w:r>
              <w:rPr>
                <w:color w:val="000000"/>
              </w:rPr>
              <w:t>1,721</w:t>
            </w:r>
          </w:p>
        </w:tc>
      </w:tr>
    </w:tbl>
    <w:p w14:paraId="263A124A" w14:textId="77777777" w:rsidR="00E049BA" w:rsidRDefault="00E049BA">
      <w:pPr>
        <w:pStyle w:val="NoSpacing"/>
        <w:rPr>
          <w:vanish/>
        </w:rPr>
      </w:pPr>
    </w:p>
    <w:p w14:paraId="1CDC6751" w14:textId="77777777" w:rsidR="00E049BA" w:rsidRDefault="00E049BA">
      <w:pPr>
        <w:pStyle w:val="NoSpacing"/>
        <w:rPr>
          <w:vanish/>
        </w:rPr>
      </w:pPr>
    </w:p>
    <w:p w14:paraId="4E745E60" w14:textId="77777777" w:rsidR="00E049BA" w:rsidRDefault="00E049BA">
      <w:pPr>
        <w:pStyle w:val="NoSpacing"/>
        <w:rPr>
          <w:vanish/>
        </w:rPr>
      </w:pPr>
    </w:p>
    <w:p w14:paraId="61555B72" w14:textId="77777777" w:rsidR="00E049BA" w:rsidRDefault="00E049BA">
      <w:pPr>
        <w:pStyle w:val="NoSpacing"/>
        <w:rPr>
          <w:vanish/>
        </w:rPr>
      </w:pPr>
    </w:p>
    <w:p w14:paraId="22A204B3" w14:textId="77777777" w:rsidR="00E049BA" w:rsidRDefault="00E049BA">
      <w:pPr>
        <w:pStyle w:val="NoSpacing"/>
        <w:rPr>
          <w:vanish/>
        </w:rPr>
      </w:pPr>
    </w:p>
    <w:p w14:paraId="3C9B0A2A" w14:textId="77777777" w:rsidR="00E049BA" w:rsidRDefault="00E049BA">
      <w:pPr>
        <w:pStyle w:val="NoSpacing"/>
        <w:rPr>
          <w:vanish/>
        </w:rPr>
      </w:pPr>
    </w:p>
    <w:p w14:paraId="22E1BD82" w14:textId="77777777" w:rsidR="00E049BA" w:rsidRDefault="00E049BA">
      <w:pPr>
        <w:pStyle w:val="NoSpacing"/>
        <w:rPr>
          <w:vanish/>
        </w:rPr>
      </w:pPr>
    </w:p>
    <w:p w14:paraId="492FEC4F" w14:textId="77777777" w:rsidR="00E049BA" w:rsidRDefault="00E049BA">
      <w:pPr>
        <w:pStyle w:val="NoSpacing"/>
        <w:rPr>
          <w:vanish/>
        </w:rPr>
      </w:pPr>
    </w:p>
    <w:p w14:paraId="4E89627F" w14:textId="77777777" w:rsidR="00E049BA" w:rsidRDefault="00E049BA">
      <w:pPr>
        <w:pStyle w:val="NoSpacing"/>
        <w:rPr>
          <w:vanish/>
        </w:rPr>
      </w:pPr>
    </w:p>
    <w:p w14:paraId="07948D23" w14:textId="77777777" w:rsidR="00E049BA" w:rsidRDefault="00E049BA">
      <w:pPr>
        <w:pStyle w:val="NoSpacing"/>
        <w:rPr>
          <w:vanish/>
        </w:rPr>
      </w:pPr>
    </w:p>
    <w:p w14:paraId="68F739E0" w14:textId="77777777" w:rsidR="00E049BA" w:rsidRDefault="00E049BA">
      <w:pPr>
        <w:pStyle w:val="NoSpacing"/>
        <w:rPr>
          <w:vanish/>
        </w:rPr>
      </w:pPr>
    </w:p>
    <w:p w14:paraId="6F742F1F" w14:textId="77777777" w:rsidR="00E049BA" w:rsidRDefault="00E049BA">
      <w:pPr>
        <w:pStyle w:val="NoSpacing"/>
        <w:rPr>
          <w:vanish/>
        </w:rPr>
      </w:pPr>
    </w:p>
    <w:p w14:paraId="5740B5EA" w14:textId="77777777" w:rsidR="00E049BA" w:rsidRDefault="00E049BA">
      <w:pPr>
        <w:pStyle w:val="NoSpacing"/>
        <w:rPr>
          <w:vanish/>
        </w:rPr>
      </w:pPr>
    </w:p>
    <w:p w14:paraId="688FC35F" w14:textId="77777777" w:rsidR="00E049BA" w:rsidRDefault="00E049BA">
      <w:pPr>
        <w:pStyle w:val="NoSpacing"/>
        <w:rPr>
          <w:vanish/>
        </w:rPr>
      </w:pPr>
    </w:p>
    <w:p w14:paraId="6E470CE5" w14:textId="77777777" w:rsidR="00E049BA" w:rsidRDefault="00E049BA">
      <w:pPr>
        <w:pStyle w:val="NoSpacing"/>
      </w:pPr>
    </w:p>
    <w:p w14:paraId="36C690EC" w14:textId="77777777" w:rsidR="00E049BA" w:rsidRDefault="00E049BA">
      <w:pPr>
        <w:pStyle w:val="NoSpacing"/>
        <w:rPr>
          <w:vanish/>
        </w:rPr>
      </w:pPr>
    </w:p>
    <w:p w14:paraId="7AB27E94" w14:textId="77777777" w:rsidR="00E049BA" w:rsidRDefault="00E049BA">
      <w:pPr>
        <w:pStyle w:val="NoSpacing"/>
        <w:rPr>
          <w:vanish/>
        </w:rPr>
      </w:pPr>
    </w:p>
    <w:p w14:paraId="2CAEF398" w14:textId="77777777" w:rsidR="00E049BA" w:rsidRDefault="00E049BA">
      <w:pPr>
        <w:pStyle w:val="NoSpacing"/>
        <w:rPr>
          <w:vanish/>
        </w:rPr>
      </w:pPr>
    </w:p>
    <w:p w14:paraId="4EC3E390" w14:textId="77777777" w:rsidR="00E049BA" w:rsidRDefault="00E049BA">
      <w:pPr>
        <w:pStyle w:val="NoSpacing"/>
        <w:rPr>
          <w:vanish/>
        </w:rPr>
      </w:pPr>
    </w:p>
    <w:p w14:paraId="4BFDE0E1" w14:textId="77777777" w:rsidR="00E049BA" w:rsidRDefault="00E049BA">
      <w:pPr>
        <w:pStyle w:val="NoSpacing"/>
        <w:rPr>
          <w:vanish/>
        </w:rPr>
      </w:pPr>
    </w:p>
    <w:p w14:paraId="65A90236" w14:textId="77777777" w:rsidR="00E049BA" w:rsidRDefault="00E049BA">
      <w:pPr>
        <w:pStyle w:val="NoSpacing"/>
        <w:rPr>
          <w:vanish/>
        </w:rPr>
      </w:pPr>
    </w:p>
    <w:p w14:paraId="1FC6AFBB" w14:textId="77777777" w:rsidR="00E049BA" w:rsidRDefault="00E049BA">
      <w:pPr>
        <w:pStyle w:val="NoSpacing"/>
        <w:rPr>
          <w:vanish/>
        </w:rPr>
      </w:pPr>
    </w:p>
    <w:p w14:paraId="245051CE" w14:textId="77777777" w:rsidR="00E049BA" w:rsidRDefault="00E049BA">
      <w:pPr>
        <w:pStyle w:val="NoSpacing"/>
        <w:rPr>
          <w:vanish/>
        </w:rPr>
      </w:pPr>
    </w:p>
    <w:p w14:paraId="385F2081" w14:textId="77777777" w:rsidR="00E049BA" w:rsidRDefault="00E049BA">
      <w:pPr>
        <w:pStyle w:val="NoSpacing"/>
        <w:rPr>
          <w:vanish/>
        </w:rPr>
      </w:pPr>
    </w:p>
    <w:p w14:paraId="346ED872" w14:textId="77777777" w:rsidR="00E049BA" w:rsidRDefault="00E049BA">
      <w:pPr>
        <w:pStyle w:val="NoSpacing"/>
        <w:rPr>
          <w:vanish/>
        </w:rPr>
      </w:pPr>
    </w:p>
    <w:p w14:paraId="1B725041" w14:textId="77777777" w:rsidR="00E049BA" w:rsidRDefault="00E049BA">
      <w:pPr>
        <w:keepNext/>
        <w:widowControl w:val="0"/>
        <w:spacing w:after="0" w:line="240" w:lineRule="auto"/>
        <w:rPr>
          <w:b/>
          <w:vanish/>
          <w:sz w:val="24"/>
          <w:szCs w:val="24"/>
        </w:rPr>
      </w:pPr>
    </w:p>
    <w:p w14:paraId="0B7D81FE" w14:textId="77777777" w:rsidR="00E049BA" w:rsidRDefault="00E049BA">
      <w:pPr>
        <w:pStyle w:val="NoSpacing"/>
        <w:rPr>
          <w:vanish/>
        </w:rPr>
      </w:pPr>
    </w:p>
    <w:p w14:paraId="68F09F79" w14:textId="77777777" w:rsidR="00E049BA" w:rsidRDefault="00E049BA">
      <w:pPr>
        <w:pStyle w:val="NoSpacing"/>
        <w:rPr>
          <w:vanish/>
        </w:rPr>
      </w:pPr>
    </w:p>
    <w:p w14:paraId="7222D99E" w14:textId="77777777" w:rsidR="00E049BA" w:rsidRDefault="00E049BA">
      <w:pPr>
        <w:pStyle w:val="NoSpacing"/>
        <w:rPr>
          <w:vanish/>
        </w:rPr>
      </w:pPr>
    </w:p>
    <w:p w14:paraId="3E037B7C" w14:textId="77777777" w:rsidR="00E049BA" w:rsidRDefault="00E049BA">
      <w:pPr>
        <w:pStyle w:val="NoSpacing"/>
        <w:rPr>
          <w:vanish/>
        </w:rPr>
      </w:pPr>
    </w:p>
    <w:p w14:paraId="26A50BE8" w14:textId="77777777" w:rsidR="00E049BA" w:rsidRDefault="00E049BA">
      <w:pPr>
        <w:pStyle w:val="NoSpacing"/>
        <w:rPr>
          <w:vanish/>
        </w:rPr>
      </w:pPr>
    </w:p>
    <w:p w14:paraId="24C67E2D" w14:textId="77777777" w:rsidR="00E049BA" w:rsidRDefault="00E049BA">
      <w:pPr>
        <w:pStyle w:val="NoSpacing"/>
        <w:rPr>
          <w:vanish/>
        </w:rPr>
      </w:pPr>
    </w:p>
    <w:p w14:paraId="6DE35558" w14:textId="77777777" w:rsidR="00E049BA" w:rsidRDefault="00E049BA">
      <w:pPr>
        <w:pStyle w:val="NoSpacing"/>
        <w:rPr>
          <w:vanish/>
        </w:rPr>
      </w:pPr>
    </w:p>
    <w:p w14:paraId="454DF85F" w14:textId="77777777" w:rsidR="00E049BA" w:rsidRDefault="00E049BA">
      <w:pPr>
        <w:pStyle w:val="NoSpacing"/>
        <w:rPr>
          <w:vanish/>
        </w:rPr>
      </w:pPr>
    </w:p>
    <w:p w14:paraId="5B3E2176" w14:textId="77777777" w:rsidR="00E049BA" w:rsidRDefault="00E049BA">
      <w:pPr>
        <w:pStyle w:val="NoSpacing"/>
        <w:rPr>
          <w:vanish/>
        </w:rPr>
      </w:pPr>
    </w:p>
    <w:p w14:paraId="79969A9C" w14:textId="77777777" w:rsidR="00E049BA" w:rsidRDefault="00E049BA">
      <w:pPr>
        <w:pStyle w:val="NoSpacing"/>
        <w:rPr>
          <w:vanish/>
        </w:rPr>
      </w:pPr>
    </w:p>
    <w:p w14:paraId="21B63E59" w14:textId="77777777" w:rsidR="00E049BA" w:rsidRDefault="00E049BA">
      <w:pPr>
        <w:pStyle w:val="NoSpacing"/>
        <w:rPr>
          <w:vanish/>
        </w:rPr>
      </w:pPr>
    </w:p>
    <w:p w14:paraId="6782908E" w14:textId="77777777" w:rsidR="00E049BA" w:rsidRDefault="00E049BA">
      <w:pPr>
        <w:pStyle w:val="NoSpacing"/>
        <w:rPr>
          <w:vanish/>
        </w:rPr>
      </w:pPr>
    </w:p>
    <w:p w14:paraId="16F08895" w14:textId="77777777" w:rsidR="00E049BA" w:rsidRDefault="00E049BA">
      <w:pPr>
        <w:pStyle w:val="NoSpacing"/>
        <w:rPr>
          <w:vanish/>
        </w:rPr>
      </w:pPr>
    </w:p>
    <w:p w14:paraId="24B46C4F" w14:textId="77777777" w:rsidR="00E049BA" w:rsidRDefault="00E049BA">
      <w:pPr>
        <w:pStyle w:val="NoSpacing"/>
        <w:rPr>
          <w:vanish/>
        </w:rPr>
      </w:pPr>
    </w:p>
    <w:p w14:paraId="38ABE4AC" w14:textId="77777777" w:rsidR="00E049BA" w:rsidRDefault="00E049BA">
      <w:pPr>
        <w:pStyle w:val="NoSpacing"/>
        <w:rPr>
          <w:vanish/>
        </w:rPr>
      </w:pPr>
    </w:p>
    <w:p w14:paraId="35706963" w14:textId="77777777" w:rsidR="00E049BA" w:rsidRDefault="00E049BA">
      <w:pPr>
        <w:pStyle w:val="NoSpacing"/>
        <w:rPr>
          <w:vanish/>
        </w:rPr>
      </w:pPr>
    </w:p>
    <w:p w14:paraId="3487B8B5" w14:textId="77777777" w:rsidR="00E049BA" w:rsidRDefault="00E049BA">
      <w:pPr>
        <w:pStyle w:val="NoSpacing"/>
        <w:rPr>
          <w:vanish/>
        </w:rPr>
      </w:pPr>
    </w:p>
    <w:p w14:paraId="55C5C501" w14:textId="77777777" w:rsidR="00E049BA" w:rsidRDefault="00E049BA">
      <w:pPr>
        <w:pStyle w:val="NoSpacing"/>
        <w:rPr>
          <w:vanish/>
        </w:rPr>
      </w:pPr>
    </w:p>
    <w:p w14:paraId="1F239B9F" w14:textId="77777777" w:rsidR="00E049BA" w:rsidRDefault="00E049BA">
      <w:pPr>
        <w:pStyle w:val="NoSpacing"/>
        <w:rPr>
          <w:vanish/>
        </w:rPr>
      </w:pPr>
    </w:p>
    <w:p w14:paraId="3415D796" w14:textId="77777777" w:rsidR="00E049BA" w:rsidRDefault="00E049BA">
      <w:pPr>
        <w:pStyle w:val="NoSpacing"/>
        <w:rPr>
          <w:vanish/>
        </w:rPr>
      </w:pPr>
    </w:p>
    <w:p w14:paraId="44FC7181" w14:textId="77777777" w:rsidR="00E049BA" w:rsidRDefault="00E049BA">
      <w:pPr>
        <w:pStyle w:val="NoSpacing"/>
        <w:rPr>
          <w:vanish/>
        </w:rPr>
      </w:pPr>
    </w:p>
    <w:p w14:paraId="239B3DCD" w14:textId="77777777" w:rsidR="00E049BA" w:rsidRDefault="00E049BA">
      <w:pPr>
        <w:pStyle w:val="NoSpacing"/>
        <w:rPr>
          <w:vanish/>
        </w:rPr>
      </w:pPr>
    </w:p>
    <w:p w14:paraId="159EB672" w14:textId="77777777" w:rsidR="00E049BA" w:rsidRDefault="00E049BA">
      <w:pPr>
        <w:pStyle w:val="NoSpacing"/>
        <w:rPr>
          <w:vanish/>
        </w:rPr>
      </w:pPr>
    </w:p>
    <w:p w14:paraId="04C9E625" w14:textId="77777777" w:rsidR="00E049BA" w:rsidRDefault="00E049BA">
      <w:pPr>
        <w:keepNext/>
        <w:widowControl w:val="0"/>
        <w:rPr>
          <w:rFonts w:asciiTheme="minorHAnsi" w:hAnsiTheme="minorHAnsi"/>
          <w:b/>
          <w:sz w:val="20"/>
          <w:szCs w:val="20"/>
        </w:rPr>
      </w:pPr>
    </w:p>
    <w:p w14:paraId="508ECBCB" w14:textId="77777777" w:rsidR="00E049BA" w:rsidRDefault="00E049BA">
      <w:pPr>
        <w:keepNext/>
        <w:widowControl w:val="0"/>
        <w:rPr>
          <w:rFonts w:asciiTheme="minorHAnsi" w:hAnsiTheme="minorHAnsi"/>
          <w:b/>
          <w:sz w:val="20"/>
          <w:szCs w:val="20"/>
        </w:rPr>
      </w:pPr>
    </w:p>
    <w:p w14:paraId="112D06FC" w14:textId="77777777" w:rsidR="00E049BA" w:rsidRDefault="002C06ED">
      <w:pPr>
        <w:keepNext/>
        <w:widowControl w:val="0"/>
        <w:ind w:firstLine="720"/>
        <w:rPr>
          <w:b/>
          <w:color w:val="000000" w:themeColor="text1"/>
          <w:sz w:val="20"/>
          <w:szCs w:val="20"/>
        </w:rPr>
      </w:pPr>
      <w:r>
        <w:rPr>
          <w:rFonts w:asciiTheme="minorHAnsi" w:hAnsiTheme="minorHAnsi"/>
          <w:b/>
          <w:sz w:val="20"/>
          <w:szCs w:val="20"/>
        </w:rPr>
        <w:t xml:space="preserve">Table </w:t>
      </w:r>
      <w:r>
        <w:rPr>
          <w:rFonts w:asciiTheme="minorHAnsi" w:hAnsiTheme="minorHAnsi"/>
          <w:b/>
          <w:sz w:val="20"/>
          <w:szCs w:val="20"/>
        </w:rPr>
        <w:fldChar w:fldCharType="begin"/>
      </w:r>
      <w:r>
        <w:rPr>
          <w:rFonts w:asciiTheme="minorHAnsi" w:hAnsiTheme="minorHAnsi"/>
          <w:b/>
          <w:sz w:val="20"/>
          <w:szCs w:val="20"/>
        </w:rPr>
        <w:instrText xml:space="preserve"> SEQ Table \* ARABIC </w:instrText>
      </w:r>
      <w:r>
        <w:rPr>
          <w:rFonts w:asciiTheme="minorHAnsi" w:hAnsiTheme="minorHAnsi"/>
          <w:b/>
          <w:sz w:val="20"/>
          <w:szCs w:val="20"/>
        </w:rPr>
        <w:fldChar w:fldCharType="separate"/>
      </w:r>
      <w:r>
        <w:rPr>
          <w:rFonts w:asciiTheme="minorHAnsi" w:hAnsiTheme="minorHAnsi"/>
          <w:b/>
          <w:sz w:val="20"/>
          <w:szCs w:val="20"/>
        </w:rPr>
        <w:t>2</w:t>
      </w:r>
      <w:r>
        <w:rPr>
          <w:rFonts w:asciiTheme="minorHAnsi" w:hAnsiTheme="minorHAnsi"/>
          <w:b/>
          <w:sz w:val="20"/>
          <w:szCs w:val="20"/>
        </w:rPr>
        <w:fldChar w:fldCharType="end"/>
      </w:r>
      <w:r>
        <w:rPr>
          <w:rFonts w:asciiTheme="minorHAnsi" w:hAnsiTheme="minorHAnsi"/>
          <w:b/>
          <w:sz w:val="20"/>
          <w:szCs w:val="20"/>
        </w:rPr>
        <w:t xml:space="preserve"> – Table of assistance to racial and ethnic populations by source of funds</w:t>
      </w:r>
      <w:r>
        <w:rPr>
          <w:b/>
          <w:color w:val="000000" w:themeColor="text1"/>
          <w:sz w:val="20"/>
          <w:szCs w:val="20"/>
        </w:rPr>
        <w:t xml:space="preserve"> </w:t>
      </w:r>
    </w:p>
    <w:p w14:paraId="0771BC08" w14:textId="77777777" w:rsidR="00E049BA" w:rsidRDefault="00E049BA">
      <w:pPr>
        <w:widowControl w:val="0"/>
        <w:rPr>
          <w:b/>
          <w:sz w:val="24"/>
          <w:szCs w:val="24"/>
        </w:rPr>
      </w:pPr>
    </w:p>
    <w:p w14:paraId="31472126" w14:textId="77777777" w:rsidR="00E049BA" w:rsidRDefault="002C06ED">
      <w:pPr>
        <w:widowControl w:val="0"/>
        <w:rPr>
          <w:b/>
          <w:sz w:val="24"/>
          <w:szCs w:val="24"/>
        </w:rPr>
      </w:pPr>
      <w:r>
        <w:rPr>
          <w:b/>
          <w:sz w:val="24"/>
          <w:szCs w:val="24"/>
        </w:rPr>
        <w:t>Narrative</w:t>
      </w:r>
    </w:p>
    <w:p w14:paraId="10CF8906" w14:textId="77777777" w:rsidR="00E049BA" w:rsidRDefault="002C06ED">
      <w:pPr>
        <w:widowControl w:val="0"/>
        <w:spacing w:beforeAutospacing="1" w:afterAutospacing="1"/>
      </w:pPr>
      <w:r>
        <w:t xml:space="preserve">The above table does not capture </w:t>
      </w:r>
      <w:proofErr w:type="gramStart"/>
      <w:r>
        <w:t>all of</w:t>
      </w:r>
      <w:proofErr w:type="gramEnd"/>
      <w:r>
        <w:t xml:space="preserve"> the race and ethnicity data </w:t>
      </w:r>
      <w:proofErr w:type="gramStart"/>
      <w:r>
        <w:t>entered into</w:t>
      </w:r>
      <w:proofErr w:type="gramEnd"/>
      <w:r>
        <w:t xml:space="preserve"> IDIS for program year 2024. The following is the complete data:</w:t>
      </w:r>
    </w:p>
    <w:p w14:paraId="04C852F8" w14:textId="77777777" w:rsidR="00E049BA" w:rsidRDefault="00E049BA">
      <w:pPr>
        <w:widowControl w:val="0"/>
        <w:spacing w:beforeAutospacing="1" w:afterAutospacing="1"/>
      </w:pPr>
    </w:p>
    <w:p w14:paraId="1423B8E2" w14:textId="77777777" w:rsidR="00E049BA" w:rsidRDefault="002C06ED">
      <w:pPr>
        <w:widowControl w:val="0"/>
        <w:spacing w:beforeAutospacing="1" w:afterAutospacing="1"/>
      </w:pPr>
      <w:r>
        <w:rPr>
          <w:b/>
        </w:rPr>
        <w:t>Race &amp; Ethnicity Data - Public Services</w:t>
      </w:r>
    </w:p>
    <w:p w14:paraId="39785FD6" w14:textId="77777777" w:rsidR="00E049BA" w:rsidRDefault="002C06ED">
      <w:pPr>
        <w:widowControl w:val="0"/>
        <w:spacing w:beforeAutospacing="1" w:afterAutospacing="1"/>
      </w:pPr>
      <w:r>
        <w:t>White 1,218</w:t>
      </w:r>
    </w:p>
    <w:p w14:paraId="5A017540" w14:textId="77777777" w:rsidR="00E049BA" w:rsidRDefault="002C06ED">
      <w:pPr>
        <w:widowControl w:val="0"/>
        <w:spacing w:beforeAutospacing="1" w:afterAutospacing="1"/>
      </w:pPr>
      <w:r>
        <w:t>Black/African American 236</w:t>
      </w:r>
    </w:p>
    <w:p w14:paraId="04FBF04B" w14:textId="77777777" w:rsidR="00E049BA" w:rsidRDefault="002C06ED">
      <w:pPr>
        <w:widowControl w:val="0"/>
        <w:spacing w:beforeAutospacing="1" w:afterAutospacing="1"/>
      </w:pPr>
      <w:r>
        <w:t>Asian 234</w:t>
      </w:r>
    </w:p>
    <w:p w14:paraId="503E3121" w14:textId="77777777" w:rsidR="00E049BA" w:rsidRDefault="002C06ED">
      <w:pPr>
        <w:widowControl w:val="0"/>
        <w:spacing w:beforeAutospacing="1" w:afterAutospacing="1"/>
      </w:pPr>
      <w:r>
        <w:t>American Indian/Alaskan Native 16</w:t>
      </w:r>
    </w:p>
    <w:p w14:paraId="7CEFAE8E" w14:textId="77777777" w:rsidR="00E049BA" w:rsidRDefault="002C06ED">
      <w:pPr>
        <w:widowControl w:val="0"/>
        <w:spacing w:beforeAutospacing="1" w:afterAutospacing="1"/>
      </w:pPr>
      <w:r>
        <w:t>Native Hawaiian/Other Pacific Islander 7</w:t>
      </w:r>
    </w:p>
    <w:p w14:paraId="12086930" w14:textId="77777777" w:rsidR="00E049BA" w:rsidRDefault="002C06ED">
      <w:pPr>
        <w:widowControl w:val="0"/>
        <w:spacing w:beforeAutospacing="1" w:afterAutospacing="1"/>
      </w:pPr>
      <w:r>
        <w:t>American Indian/Alaskan Native &amp; White 2</w:t>
      </w:r>
    </w:p>
    <w:p w14:paraId="67B8039E" w14:textId="77777777" w:rsidR="00E049BA" w:rsidRDefault="002C06ED">
      <w:pPr>
        <w:widowControl w:val="0"/>
        <w:spacing w:beforeAutospacing="1" w:afterAutospacing="1"/>
      </w:pPr>
      <w:r>
        <w:lastRenderedPageBreak/>
        <w:t>Asian &amp; White 8</w:t>
      </w:r>
    </w:p>
    <w:p w14:paraId="196FB28C" w14:textId="77777777" w:rsidR="00E049BA" w:rsidRDefault="002C06ED">
      <w:pPr>
        <w:widowControl w:val="0"/>
        <w:spacing w:beforeAutospacing="1" w:afterAutospacing="1"/>
      </w:pPr>
      <w:r>
        <w:t>Black/African American &amp; White 2</w:t>
      </w:r>
    </w:p>
    <w:p w14:paraId="6D2158C8" w14:textId="77777777" w:rsidR="00E049BA" w:rsidRDefault="002C06ED">
      <w:pPr>
        <w:widowControl w:val="0"/>
        <w:spacing w:beforeAutospacing="1" w:afterAutospacing="1"/>
      </w:pPr>
      <w:r>
        <w:t>American Indian/Alaskan Native &amp; Black African American 9</w:t>
      </w:r>
    </w:p>
    <w:p w14:paraId="3357EC24" w14:textId="77777777" w:rsidR="00E049BA" w:rsidRDefault="002C06ED">
      <w:pPr>
        <w:widowControl w:val="0"/>
        <w:spacing w:beforeAutospacing="1" w:afterAutospacing="1"/>
      </w:pPr>
      <w:r>
        <w:t>Other Multiracial 508</w:t>
      </w:r>
    </w:p>
    <w:p w14:paraId="4F0AE1BE" w14:textId="77777777" w:rsidR="00E049BA" w:rsidRDefault="002C06ED">
      <w:pPr>
        <w:widowControl w:val="0"/>
        <w:spacing w:beforeAutospacing="1" w:afterAutospacing="1"/>
      </w:pPr>
      <w:r>
        <w:t>White Hispanic 110</w:t>
      </w:r>
    </w:p>
    <w:p w14:paraId="6F83067E" w14:textId="77777777" w:rsidR="00E049BA" w:rsidRDefault="002C06ED">
      <w:pPr>
        <w:widowControl w:val="0"/>
        <w:spacing w:beforeAutospacing="1" w:afterAutospacing="1"/>
      </w:pPr>
      <w:r>
        <w:t>Black Hispanic 31</w:t>
      </w:r>
    </w:p>
    <w:p w14:paraId="109D1320" w14:textId="77777777" w:rsidR="00E049BA" w:rsidRDefault="002C06ED">
      <w:pPr>
        <w:widowControl w:val="0"/>
        <w:spacing w:beforeAutospacing="1" w:afterAutospacing="1"/>
      </w:pPr>
      <w:r>
        <w:rPr>
          <w:b/>
        </w:rPr>
        <w:t>Total = 2,381</w:t>
      </w:r>
    </w:p>
    <w:p w14:paraId="74F37622" w14:textId="77777777" w:rsidR="00E049BA" w:rsidRDefault="002C06ED">
      <w:pPr>
        <w:widowControl w:val="0"/>
        <w:spacing w:beforeAutospacing="1" w:afterAutospacing="1"/>
      </w:pPr>
      <w:r>
        <w:rPr>
          <w:b/>
        </w:rPr>
        <w:t> </w:t>
      </w:r>
    </w:p>
    <w:p w14:paraId="3B07E971" w14:textId="77777777" w:rsidR="00E049BA" w:rsidRDefault="002C06ED">
      <w:pPr>
        <w:widowControl w:val="0"/>
        <w:spacing w:beforeAutospacing="1" w:afterAutospacing="1"/>
      </w:pPr>
      <w:r>
        <w:t>Very Low income = 313</w:t>
      </w:r>
    </w:p>
    <w:p w14:paraId="39936DE4" w14:textId="77777777" w:rsidR="00E049BA" w:rsidRDefault="002C06ED">
      <w:pPr>
        <w:widowControl w:val="0"/>
        <w:spacing w:beforeAutospacing="1" w:afterAutospacing="1"/>
      </w:pPr>
      <w:r>
        <w:t>Low Income = 964</w:t>
      </w:r>
    </w:p>
    <w:p w14:paraId="67EB957F" w14:textId="77777777" w:rsidR="00E049BA" w:rsidRDefault="002C06ED">
      <w:pPr>
        <w:widowControl w:val="0"/>
        <w:spacing w:beforeAutospacing="1" w:afterAutospacing="1"/>
      </w:pPr>
      <w:r>
        <w:t>Moderate Income = 38</w:t>
      </w:r>
    </w:p>
    <w:p w14:paraId="53D328E3" w14:textId="77777777" w:rsidR="00E049BA" w:rsidRDefault="002C06ED">
      <w:pPr>
        <w:widowControl w:val="0"/>
        <w:spacing w:beforeAutospacing="1" w:afterAutospacing="1"/>
      </w:pPr>
      <w:r>
        <w:t>Non-low/moderate income = 8</w:t>
      </w:r>
    </w:p>
    <w:p w14:paraId="66D4810D" w14:textId="77777777" w:rsidR="00E049BA" w:rsidRDefault="002C06ED">
      <w:pPr>
        <w:widowControl w:val="0"/>
        <w:spacing w:beforeAutospacing="1" w:afterAutospacing="1"/>
      </w:pPr>
      <w:r>
        <w:rPr>
          <w:b/>
        </w:rPr>
        <w:t>Low/Moderate Income 100%</w:t>
      </w:r>
    </w:p>
    <w:p w14:paraId="0167C1D8" w14:textId="77777777" w:rsidR="00E049BA" w:rsidRDefault="002C06ED">
      <w:pPr>
        <w:widowControl w:val="0"/>
        <w:spacing w:beforeAutospacing="1" w:afterAutospacing="1"/>
      </w:pPr>
      <w:r>
        <w:rPr>
          <w:b/>
        </w:rPr>
        <w:t> </w:t>
      </w:r>
    </w:p>
    <w:p w14:paraId="04842116" w14:textId="77777777" w:rsidR="00E049BA" w:rsidRDefault="002C06ED">
      <w:pPr>
        <w:widowControl w:val="0"/>
        <w:spacing w:beforeAutospacing="1" w:afterAutospacing="1"/>
      </w:pPr>
      <w:r>
        <w:rPr>
          <w:b/>
        </w:rPr>
        <w:t> </w:t>
      </w:r>
    </w:p>
    <w:p w14:paraId="5BF60383" w14:textId="77777777" w:rsidR="00E049BA" w:rsidRDefault="002C06ED">
      <w:pPr>
        <w:widowControl w:val="0"/>
        <w:spacing w:beforeAutospacing="1" w:afterAutospacing="1"/>
      </w:pPr>
      <w:r>
        <w:rPr>
          <w:b/>
        </w:rPr>
        <w:t> </w:t>
      </w:r>
    </w:p>
    <w:p w14:paraId="07F1989C" w14:textId="77777777" w:rsidR="00E049BA" w:rsidRDefault="002C06ED">
      <w:pPr>
        <w:widowControl w:val="0"/>
        <w:spacing w:beforeAutospacing="1" w:afterAutospacing="1"/>
      </w:pPr>
      <w:r>
        <w:rPr>
          <w:b/>
        </w:rPr>
        <w:t> </w:t>
      </w:r>
    </w:p>
    <w:p w14:paraId="5A784EFE" w14:textId="77777777" w:rsidR="00E049BA" w:rsidRDefault="00E049BA">
      <w:pPr>
        <w:widowControl w:val="0"/>
        <w:spacing w:beforeAutospacing="1" w:afterAutospacing="1"/>
      </w:pPr>
    </w:p>
    <w:p w14:paraId="547B5A90" w14:textId="77777777" w:rsidR="00E049BA" w:rsidRDefault="00E049BA">
      <w:pPr>
        <w:widowControl w:val="0"/>
        <w:spacing w:beforeAutospacing="1" w:afterAutospacing="1"/>
      </w:pPr>
    </w:p>
    <w:p w14:paraId="1B4E1C8F" w14:textId="77777777" w:rsidR="00E049BA" w:rsidRDefault="002C06ED">
      <w:pPr>
        <w:widowControl w:val="0"/>
        <w:spacing w:beforeAutospacing="1" w:afterAutospacing="1"/>
      </w:pPr>
      <w:r>
        <w:rPr>
          <w:b/>
        </w:rPr>
        <w:t> </w:t>
      </w:r>
    </w:p>
    <w:p w14:paraId="1EAA500D" w14:textId="77777777" w:rsidR="00E049BA" w:rsidRDefault="002C06ED">
      <w:pPr>
        <w:widowControl w:val="0"/>
        <w:spacing w:beforeAutospacing="1" w:afterAutospacing="1"/>
      </w:pPr>
      <w:r>
        <w:rPr>
          <w:b/>
        </w:rPr>
        <w:t> </w:t>
      </w:r>
    </w:p>
    <w:p w14:paraId="06CDBBBF" w14:textId="77777777" w:rsidR="00E049BA" w:rsidRDefault="002C06ED">
      <w:pPr>
        <w:widowControl w:val="0"/>
        <w:spacing w:beforeAutospacing="1" w:afterAutospacing="1"/>
      </w:pPr>
      <w:r>
        <w:rPr>
          <w:b/>
        </w:rPr>
        <w:t> </w:t>
      </w:r>
    </w:p>
    <w:p w14:paraId="1DA84AA2" w14:textId="77777777" w:rsidR="00E049BA" w:rsidRDefault="002C06ED">
      <w:pPr>
        <w:widowControl w:val="0"/>
        <w:spacing w:beforeAutospacing="1" w:afterAutospacing="1"/>
      </w:pPr>
      <w:r>
        <w:rPr>
          <w:b/>
        </w:rPr>
        <w:lastRenderedPageBreak/>
        <w:t> </w:t>
      </w:r>
    </w:p>
    <w:p w14:paraId="5C43DDD3" w14:textId="77777777" w:rsidR="00E049BA" w:rsidRDefault="00E049BA">
      <w:pPr>
        <w:widowControl w:val="0"/>
      </w:pPr>
    </w:p>
    <w:p w14:paraId="32A1D19A" w14:textId="77777777" w:rsidR="00E049BA" w:rsidRDefault="00E049BA">
      <w:pPr>
        <w:sectPr w:rsidR="00E049BA">
          <w:pgSz w:w="12240" w:h="15840" w:code="1"/>
          <w:pgMar w:top="1440" w:right="1440" w:bottom="1440" w:left="1440" w:header="720" w:footer="720" w:gutter="0"/>
          <w:cols w:space="720"/>
          <w:docGrid w:linePitch="360"/>
        </w:sectPr>
      </w:pPr>
    </w:p>
    <w:bookmarkEnd w:id="0"/>
    <w:p w14:paraId="04F2D4A5" w14:textId="77777777" w:rsidR="00E049BA" w:rsidRDefault="002C06ED">
      <w:pPr>
        <w:pStyle w:val="Heading2"/>
        <w:rPr>
          <w:rFonts w:ascii="Calibri" w:hAnsi="Calibri"/>
          <w:i w:val="0"/>
        </w:rPr>
      </w:pPr>
      <w:r>
        <w:rPr>
          <w:rFonts w:ascii="Calibri" w:hAnsi="Calibri"/>
          <w:i w:val="0"/>
        </w:rPr>
        <w:lastRenderedPageBreak/>
        <w:t>CR-15 - Resources and Investments 91.520(a)</w:t>
      </w:r>
    </w:p>
    <w:p w14:paraId="72D46D4B" w14:textId="77777777" w:rsidR="00E049BA" w:rsidRDefault="002C06ED">
      <w:pPr>
        <w:keepNext/>
        <w:widowControl w:val="0"/>
        <w:spacing w:after="0" w:line="240" w:lineRule="auto"/>
        <w:rPr>
          <w:b/>
          <w:sz w:val="24"/>
          <w:szCs w:val="24"/>
        </w:rPr>
      </w:pPr>
      <w:r>
        <w:rPr>
          <w:b/>
          <w:sz w:val="24"/>
          <w:szCs w:val="24"/>
        </w:rPr>
        <w:t>Identify the resources made available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332"/>
        <w:gridCol w:w="2344"/>
        <w:gridCol w:w="2343"/>
      </w:tblGrid>
      <w:tr w:rsidR="00E049BA" w14:paraId="66617969" w14:textId="77777777">
        <w:trPr>
          <w:cantSplit/>
        </w:trPr>
        <w:tc>
          <w:tcPr>
            <w:tcW w:w="2394" w:type="dxa"/>
          </w:tcPr>
          <w:p w14:paraId="5A71CEA8" w14:textId="77777777" w:rsidR="00E049BA" w:rsidRDefault="002C06ED">
            <w:pPr>
              <w:keepNext/>
              <w:widowControl w:val="0"/>
              <w:spacing w:after="0" w:line="240" w:lineRule="auto"/>
              <w:jc w:val="center"/>
              <w:rPr>
                <w:rFonts w:cs="Arial"/>
                <w:b/>
              </w:rPr>
            </w:pPr>
            <w:r>
              <w:rPr>
                <w:rFonts w:cs="Arial"/>
                <w:b/>
              </w:rPr>
              <w:t>Source of Funds</w:t>
            </w:r>
          </w:p>
        </w:tc>
        <w:tc>
          <w:tcPr>
            <w:tcW w:w="2394" w:type="dxa"/>
          </w:tcPr>
          <w:p w14:paraId="5B11D8F9" w14:textId="77777777" w:rsidR="00E049BA" w:rsidRDefault="002C06ED">
            <w:pPr>
              <w:keepNext/>
              <w:widowControl w:val="0"/>
              <w:spacing w:after="0" w:line="240" w:lineRule="auto"/>
              <w:jc w:val="center"/>
              <w:rPr>
                <w:rFonts w:cs="Arial"/>
                <w:b/>
              </w:rPr>
            </w:pPr>
            <w:r>
              <w:rPr>
                <w:rFonts w:cs="Arial"/>
                <w:b/>
              </w:rPr>
              <w:t>Source</w:t>
            </w:r>
          </w:p>
        </w:tc>
        <w:tc>
          <w:tcPr>
            <w:tcW w:w="2394" w:type="dxa"/>
          </w:tcPr>
          <w:p w14:paraId="56BDAF68" w14:textId="77777777" w:rsidR="00E049BA" w:rsidRDefault="002C06ED">
            <w:pPr>
              <w:keepNext/>
              <w:spacing w:after="0" w:line="240" w:lineRule="auto"/>
              <w:jc w:val="center"/>
              <w:rPr>
                <w:rFonts w:cs="Arial"/>
                <w:b/>
              </w:rPr>
            </w:pPr>
            <w:r>
              <w:rPr>
                <w:rFonts w:cs="Arial"/>
                <w:b/>
              </w:rPr>
              <w:t>Resources Made Available</w:t>
            </w:r>
          </w:p>
        </w:tc>
        <w:tc>
          <w:tcPr>
            <w:tcW w:w="2394" w:type="dxa"/>
          </w:tcPr>
          <w:p w14:paraId="45FF18A6" w14:textId="77777777" w:rsidR="00E049BA" w:rsidRDefault="002C06ED">
            <w:pPr>
              <w:keepNext/>
              <w:widowControl w:val="0"/>
              <w:spacing w:after="0" w:line="240" w:lineRule="auto"/>
              <w:jc w:val="center"/>
              <w:rPr>
                <w:rFonts w:cs="Arial"/>
                <w:b/>
              </w:rPr>
            </w:pPr>
            <w:r>
              <w:rPr>
                <w:rFonts w:cs="Arial"/>
                <w:b/>
              </w:rPr>
              <w:t>Amount Expended During Program Year</w:t>
            </w:r>
          </w:p>
        </w:tc>
      </w:tr>
      <w:tr w:rsidR="00E049BA" w14:paraId="1E4B2730" w14:textId="77777777">
        <w:trPr>
          <w:cantSplit/>
        </w:trPr>
        <w:tc>
          <w:tcPr>
            <w:tcW w:w="0" w:type="auto"/>
            <w:vAlign w:val="bottom"/>
          </w:tcPr>
          <w:p w14:paraId="447B9A92" w14:textId="77777777" w:rsidR="00E049BA" w:rsidRDefault="002C06ED">
            <w:pPr>
              <w:spacing w:beforeAutospacing="1" w:afterAutospacing="1"/>
            </w:pPr>
            <w:r>
              <w:rPr>
                <w:color w:val="000000"/>
              </w:rPr>
              <w:t>CDBG</w:t>
            </w:r>
          </w:p>
        </w:tc>
        <w:tc>
          <w:tcPr>
            <w:tcW w:w="0" w:type="auto"/>
            <w:vAlign w:val="bottom"/>
          </w:tcPr>
          <w:p w14:paraId="54E59C51" w14:textId="77777777" w:rsidR="00E049BA" w:rsidRDefault="002C06ED">
            <w:pPr>
              <w:spacing w:beforeAutospacing="1" w:afterAutospacing="1"/>
            </w:pPr>
            <w:r>
              <w:rPr>
                <w:color w:val="000000"/>
              </w:rPr>
              <w:t>public - federal</w:t>
            </w:r>
          </w:p>
        </w:tc>
        <w:tc>
          <w:tcPr>
            <w:tcW w:w="0" w:type="auto"/>
            <w:vAlign w:val="bottom"/>
          </w:tcPr>
          <w:p w14:paraId="07AAC1FF" w14:textId="77777777" w:rsidR="00E049BA" w:rsidRDefault="002C06ED">
            <w:pPr>
              <w:spacing w:beforeAutospacing="1" w:afterAutospacing="1"/>
              <w:jc w:val="right"/>
            </w:pPr>
            <w:r>
              <w:rPr>
                <w:color w:val="000000"/>
              </w:rPr>
              <w:t>2,604,427</w:t>
            </w:r>
          </w:p>
        </w:tc>
        <w:tc>
          <w:tcPr>
            <w:tcW w:w="0" w:type="auto"/>
            <w:vAlign w:val="bottom"/>
          </w:tcPr>
          <w:p w14:paraId="3CE0FCB3" w14:textId="77777777" w:rsidR="00E049BA" w:rsidRDefault="002C06ED">
            <w:pPr>
              <w:spacing w:beforeAutospacing="1" w:afterAutospacing="1"/>
              <w:jc w:val="right"/>
            </w:pPr>
            <w:r>
              <w:rPr>
                <w:color w:val="000000"/>
              </w:rPr>
              <w:t>1,122,116</w:t>
            </w:r>
          </w:p>
        </w:tc>
      </w:tr>
    </w:tbl>
    <w:p w14:paraId="442B0CD7"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Resources Made Available</w:t>
      </w:r>
    </w:p>
    <w:p w14:paraId="42987AFB" w14:textId="77777777" w:rsidR="00E049BA" w:rsidRDefault="00E049BA">
      <w:pPr>
        <w:spacing w:after="0" w:line="240" w:lineRule="auto"/>
        <w:rPr>
          <w:b/>
          <w:sz w:val="24"/>
          <w:szCs w:val="24"/>
        </w:rPr>
      </w:pPr>
    </w:p>
    <w:p w14:paraId="6EB2D815" w14:textId="77777777" w:rsidR="00E049BA" w:rsidRDefault="002C06ED">
      <w:pPr>
        <w:spacing w:after="0" w:line="240" w:lineRule="auto"/>
        <w:rPr>
          <w:b/>
          <w:sz w:val="24"/>
          <w:szCs w:val="24"/>
        </w:rPr>
      </w:pPr>
      <w:r>
        <w:rPr>
          <w:b/>
          <w:sz w:val="24"/>
          <w:szCs w:val="24"/>
        </w:rPr>
        <w:t>Narrative</w:t>
      </w:r>
    </w:p>
    <w:p w14:paraId="5E1882DB" w14:textId="77777777" w:rsidR="00E049BA" w:rsidRDefault="002C06ED">
      <w:pPr>
        <w:spacing w:beforeAutospacing="1" w:afterAutospacing="1"/>
        <w:rPr>
          <w:rFonts w:cs="Arial"/>
        </w:rPr>
      </w:pPr>
      <w:r>
        <w:rPr>
          <w:rFonts w:cs="Arial"/>
        </w:rPr>
        <w:t>Resources available at the end of program year 2023 consisted of approximately $1,000,000</w:t>
      </w:r>
      <w:proofErr w:type="gramStart"/>
      <w:r>
        <w:rPr>
          <w:rFonts w:cs="Arial"/>
        </w:rPr>
        <w:t>,  program</w:t>
      </w:r>
      <w:proofErr w:type="gramEnd"/>
      <w:r>
        <w:rPr>
          <w:rFonts w:cs="Arial"/>
        </w:rPr>
        <w:t xml:space="preserve"> year 2024 grant of $1,086,719 and $507,717.80 in program year 2024 program income, for a total of $2,604,426.80.</w:t>
      </w:r>
    </w:p>
    <w:p w14:paraId="6D60F4AE" w14:textId="77777777" w:rsidR="00E049BA" w:rsidRDefault="002C06ED">
      <w:pPr>
        <w:spacing w:beforeAutospacing="1" w:afterAutospacing="1"/>
        <w:rPr>
          <w:rFonts w:cs="Arial"/>
        </w:rPr>
      </w:pPr>
      <w:r>
        <w:rPr>
          <w:rFonts w:cs="Arial"/>
        </w:rPr>
        <w:t>The CAPER comment period was from September 11 through September 25, 2024. We did not receive any comments.</w:t>
      </w:r>
    </w:p>
    <w:p w14:paraId="3B97B158" w14:textId="77777777" w:rsidR="00E049BA" w:rsidRDefault="00E049BA">
      <w:pPr>
        <w:spacing w:after="0" w:line="240" w:lineRule="auto"/>
        <w:rPr>
          <w:b/>
          <w:sz w:val="24"/>
          <w:szCs w:val="24"/>
        </w:rPr>
      </w:pPr>
    </w:p>
    <w:p w14:paraId="457B59CE" w14:textId="77777777" w:rsidR="00E049BA" w:rsidRDefault="002C06ED">
      <w:pPr>
        <w:keepNext/>
        <w:spacing w:after="0" w:line="240" w:lineRule="auto"/>
        <w:rPr>
          <w:b/>
          <w:sz w:val="24"/>
          <w:szCs w:val="24"/>
        </w:rPr>
      </w:pPr>
      <w:r>
        <w:rPr>
          <w:b/>
          <w:sz w:val="24"/>
          <w:szCs w:val="24"/>
        </w:rPr>
        <w:t>Identify the geographic distribution and location of investments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3"/>
        <w:gridCol w:w="2342"/>
        <w:gridCol w:w="2342"/>
        <w:gridCol w:w="2343"/>
      </w:tblGrid>
      <w:tr w:rsidR="00E049BA" w14:paraId="23F7CAE7" w14:textId="77777777">
        <w:trPr>
          <w:cantSplit/>
        </w:trPr>
        <w:tc>
          <w:tcPr>
            <w:tcW w:w="2394" w:type="dxa"/>
          </w:tcPr>
          <w:p w14:paraId="28310FB3" w14:textId="77777777" w:rsidR="00E049BA" w:rsidRDefault="002C06ED">
            <w:pPr>
              <w:keepNext/>
              <w:widowControl w:val="0"/>
              <w:spacing w:after="0" w:line="240" w:lineRule="auto"/>
              <w:jc w:val="center"/>
              <w:rPr>
                <w:rFonts w:cs="Arial"/>
                <w:b/>
              </w:rPr>
            </w:pPr>
            <w:r>
              <w:rPr>
                <w:rFonts w:cs="Arial"/>
                <w:b/>
              </w:rPr>
              <w:t>Target Area</w:t>
            </w:r>
          </w:p>
        </w:tc>
        <w:tc>
          <w:tcPr>
            <w:tcW w:w="2394" w:type="dxa"/>
          </w:tcPr>
          <w:p w14:paraId="7D341406" w14:textId="77777777" w:rsidR="00E049BA" w:rsidRDefault="002C06ED">
            <w:pPr>
              <w:keepNext/>
              <w:widowControl w:val="0"/>
              <w:spacing w:after="0" w:line="240" w:lineRule="auto"/>
              <w:jc w:val="center"/>
              <w:rPr>
                <w:rFonts w:cs="Arial"/>
                <w:b/>
              </w:rPr>
            </w:pPr>
            <w:r>
              <w:rPr>
                <w:rFonts w:cs="Arial"/>
                <w:b/>
              </w:rPr>
              <w:t>Planned Percentage of Allocation</w:t>
            </w:r>
          </w:p>
        </w:tc>
        <w:tc>
          <w:tcPr>
            <w:tcW w:w="2394" w:type="dxa"/>
          </w:tcPr>
          <w:p w14:paraId="51F12DC1" w14:textId="77777777" w:rsidR="00E049BA" w:rsidRDefault="002C06ED">
            <w:pPr>
              <w:keepNext/>
              <w:spacing w:after="0" w:line="240" w:lineRule="auto"/>
              <w:jc w:val="center"/>
              <w:rPr>
                <w:rFonts w:cs="Arial"/>
                <w:b/>
              </w:rPr>
            </w:pPr>
            <w:r>
              <w:rPr>
                <w:rFonts w:cs="Arial"/>
                <w:b/>
              </w:rPr>
              <w:t>Actual Percentage of Allocation</w:t>
            </w:r>
          </w:p>
        </w:tc>
        <w:tc>
          <w:tcPr>
            <w:tcW w:w="2394" w:type="dxa"/>
          </w:tcPr>
          <w:p w14:paraId="2C751D75" w14:textId="77777777" w:rsidR="00E049BA" w:rsidRDefault="002C06ED">
            <w:pPr>
              <w:keepNext/>
              <w:widowControl w:val="0"/>
              <w:spacing w:after="0" w:line="240" w:lineRule="auto"/>
              <w:jc w:val="center"/>
              <w:rPr>
                <w:rFonts w:cs="Arial"/>
                <w:b/>
              </w:rPr>
            </w:pPr>
            <w:r>
              <w:rPr>
                <w:rFonts w:cs="Arial"/>
                <w:b/>
              </w:rPr>
              <w:t>Narrative Description</w:t>
            </w:r>
          </w:p>
        </w:tc>
      </w:tr>
      <w:tr w:rsidR="00E049BA" w14:paraId="138E4AFD" w14:textId="77777777">
        <w:trPr>
          <w:cantSplit/>
        </w:trPr>
        <w:tc>
          <w:tcPr>
            <w:tcW w:w="2394" w:type="dxa"/>
          </w:tcPr>
          <w:p w14:paraId="742FB8A3" w14:textId="77777777" w:rsidR="00E049BA" w:rsidRDefault="00E049BA">
            <w:pPr>
              <w:keepNext/>
              <w:widowControl w:val="0"/>
              <w:spacing w:after="0" w:line="240" w:lineRule="auto"/>
              <w:rPr>
                <w:rFonts w:cs="Arial"/>
              </w:rPr>
            </w:pPr>
          </w:p>
        </w:tc>
        <w:tc>
          <w:tcPr>
            <w:tcW w:w="2394" w:type="dxa"/>
          </w:tcPr>
          <w:p w14:paraId="65CB324F" w14:textId="77777777" w:rsidR="00E049BA" w:rsidRDefault="00E049BA">
            <w:pPr>
              <w:keepNext/>
              <w:widowControl w:val="0"/>
              <w:spacing w:after="0" w:line="240" w:lineRule="auto"/>
              <w:rPr>
                <w:rFonts w:cs="Arial"/>
              </w:rPr>
            </w:pPr>
          </w:p>
        </w:tc>
        <w:tc>
          <w:tcPr>
            <w:tcW w:w="2394" w:type="dxa"/>
          </w:tcPr>
          <w:p w14:paraId="3F55EC85" w14:textId="77777777" w:rsidR="00E049BA" w:rsidRDefault="00E049BA">
            <w:pPr>
              <w:keepNext/>
              <w:widowControl w:val="0"/>
              <w:spacing w:after="0" w:line="240" w:lineRule="auto"/>
              <w:rPr>
                <w:rFonts w:cs="Arial"/>
              </w:rPr>
            </w:pPr>
          </w:p>
        </w:tc>
        <w:tc>
          <w:tcPr>
            <w:tcW w:w="2394" w:type="dxa"/>
          </w:tcPr>
          <w:p w14:paraId="5E5F92C4" w14:textId="77777777" w:rsidR="00E049BA" w:rsidRDefault="00E049BA">
            <w:pPr>
              <w:keepNext/>
              <w:widowControl w:val="0"/>
              <w:spacing w:after="0" w:line="240" w:lineRule="auto"/>
              <w:rPr>
                <w:rFonts w:cs="Arial"/>
              </w:rPr>
            </w:pPr>
          </w:p>
        </w:tc>
      </w:tr>
    </w:tbl>
    <w:p w14:paraId="54DF80F5"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Identify the geographic distribution and location of investments</w:t>
      </w:r>
    </w:p>
    <w:p w14:paraId="1D6327EC" w14:textId="77777777" w:rsidR="00E049BA" w:rsidRDefault="00E049BA">
      <w:pPr>
        <w:keepNext/>
        <w:widowControl w:val="0"/>
        <w:spacing w:line="204" w:lineRule="auto"/>
        <w:rPr>
          <w:b/>
          <w:sz w:val="24"/>
          <w:szCs w:val="24"/>
        </w:rPr>
      </w:pPr>
    </w:p>
    <w:p w14:paraId="7FFF584E" w14:textId="77777777" w:rsidR="00E049BA" w:rsidRDefault="002C06ED">
      <w:pPr>
        <w:widowControl w:val="0"/>
        <w:spacing w:line="204" w:lineRule="auto"/>
        <w:rPr>
          <w:b/>
          <w:sz w:val="24"/>
          <w:szCs w:val="24"/>
        </w:rPr>
      </w:pPr>
      <w:r>
        <w:rPr>
          <w:b/>
          <w:sz w:val="24"/>
          <w:szCs w:val="24"/>
        </w:rPr>
        <w:t>Narrative</w:t>
      </w:r>
    </w:p>
    <w:p w14:paraId="01EBA4CC" w14:textId="77777777" w:rsidR="00E049BA" w:rsidRDefault="002C06ED">
      <w:pPr>
        <w:widowControl w:val="0"/>
        <w:spacing w:beforeAutospacing="1" w:afterAutospacing="1"/>
        <w:rPr>
          <w:rFonts w:cs="Arial"/>
        </w:rPr>
      </w:pPr>
      <w:r>
        <w:rPr>
          <w:rFonts w:cs="Arial"/>
        </w:rPr>
        <w:t>There was no specific targeted area for program year 2024 resources.  Funds were available citywide for eligible projects.</w:t>
      </w:r>
    </w:p>
    <w:p w14:paraId="481DCE59" w14:textId="77777777" w:rsidR="00E049BA" w:rsidRDefault="002C06ED">
      <w:pPr>
        <w:pageBreakBefore/>
        <w:widowControl w:val="0"/>
        <w:spacing w:line="240" w:lineRule="auto"/>
        <w:rPr>
          <w:b/>
          <w:sz w:val="24"/>
          <w:szCs w:val="24"/>
        </w:rPr>
      </w:pPr>
      <w:r>
        <w:rPr>
          <w:b/>
          <w:sz w:val="24"/>
          <w:szCs w:val="24"/>
        </w:rPr>
        <w:lastRenderedPageBreak/>
        <w:t>Leveraging</w:t>
      </w:r>
    </w:p>
    <w:p w14:paraId="3A81F491" w14:textId="77777777" w:rsidR="00E049BA" w:rsidRDefault="002C06ED">
      <w:pPr>
        <w:widowControl w:val="0"/>
        <w:spacing w:line="240" w:lineRule="auto"/>
        <w:rPr>
          <w:b/>
          <w:sz w:val="24"/>
          <w:szCs w:val="24"/>
        </w:rPr>
      </w:pPr>
      <w:r>
        <w:rPr>
          <w:b/>
          <w:sz w:val="24"/>
          <w:szCs w:val="24"/>
        </w:rPr>
        <w:t xml:space="preserve">Explain how federal </w:t>
      </w:r>
      <w:proofErr w:type="gramStart"/>
      <w:r>
        <w:rPr>
          <w:b/>
          <w:sz w:val="24"/>
          <w:szCs w:val="24"/>
        </w:rPr>
        <w:t>funds  leveraged</w:t>
      </w:r>
      <w:proofErr w:type="gramEnd"/>
      <w:r>
        <w:rPr>
          <w:b/>
          <w:sz w:val="24"/>
          <w:szCs w:val="24"/>
        </w:rPr>
        <w:t xml:space="preserve"> additional resources (private, state and local funds), including a description of how matching requirements were satisfied, as well as how any publicly owned land or property located within the jurisdiction that were used to address the needs identified in the plan.</w:t>
      </w:r>
    </w:p>
    <w:p w14:paraId="26902D0D" w14:textId="77777777" w:rsidR="00E049BA" w:rsidRDefault="002C06ED">
      <w:pPr>
        <w:widowControl w:val="0"/>
        <w:spacing w:beforeAutospacing="1" w:afterAutospacing="1"/>
        <w:rPr>
          <w:sz w:val="24"/>
          <w:szCs w:val="24"/>
        </w:rPr>
      </w:pPr>
      <w:r>
        <w:rPr>
          <w:sz w:val="24"/>
          <w:szCs w:val="24"/>
        </w:rPr>
        <w:t xml:space="preserve">There are no matching requirements for CDBG funds. Public service subrecipients usually had other sources of funds from private, state, or local sources. CDBG funds subsidized their programs. Public facility projects for non-profits were generally subsidized by the non-profits' resources. The City's funds available for infrastructure, from bonds and taxes, </w:t>
      </w:r>
      <w:proofErr w:type="gramStart"/>
      <w:r>
        <w:rPr>
          <w:sz w:val="24"/>
          <w:szCs w:val="24"/>
        </w:rPr>
        <w:t>varies</w:t>
      </w:r>
      <w:proofErr w:type="gramEnd"/>
      <w:r>
        <w:rPr>
          <w:sz w:val="24"/>
          <w:szCs w:val="24"/>
        </w:rPr>
        <w:t xml:space="preserve"> annually.</w:t>
      </w:r>
    </w:p>
    <w:p w14:paraId="041D256A" w14:textId="77777777" w:rsidR="00E049BA" w:rsidRDefault="002C06ED">
      <w:pPr>
        <w:widowControl w:val="0"/>
        <w:spacing w:beforeAutospacing="1" w:afterAutospacing="1"/>
        <w:rPr>
          <w:sz w:val="24"/>
          <w:szCs w:val="24"/>
        </w:rPr>
      </w:pPr>
      <w:r>
        <w:rPr>
          <w:sz w:val="24"/>
          <w:szCs w:val="24"/>
        </w:rPr>
        <w:t xml:space="preserve">The Cranston Housing Authority's funds for public housing, from HUD, </w:t>
      </w:r>
      <w:proofErr w:type="gramStart"/>
      <w:r>
        <w:rPr>
          <w:sz w:val="24"/>
          <w:szCs w:val="24"/>
        </w:rPr>
        <w:t>varies</w:t>
      </w:r>
      <w:proofErr w:type="gramEnd"/>
      <w:r>
        <w:rPr>
          <w:sz w:val="24"/>
          <w:szCs w:val="24"/>
        </w:rPr>
        <w:t xml:space="preserve"> annually.</w:t>
      </w:r>
    </w:p>
    <w:p w14:paraId="6D31173E" w14:textId="77777777" w:rsidR="00E049BA" w:rsidRDefault="002C06ED">
      <w:pPr>
        <w:widowControl w:val="0"/>
        <w:spacing w:beforeAutospacing="1" w:afterAutospacing="1"/>
        <w:rPr>
          <w:sz w:val="24"/>
          <w:szCs w:val="24"/>
        </w:rPr>
      </w:pPr>
      <w:r>
        <w:rPr>
          <w:sz w:val="24"/>
          <w:szCs w:val="24"/>
        </w:rPr>
        <w:t>No publicly owned land was used to address the needs identified in the plan. City-owned properties that were used to address the needs are as follows: the Cranston Senior Center - for the Adult Day Services and Nursing Supportive Services programs; the Hope Center - for the daycare program for those suffering from Alzheimer's Disease and dementia; and several schools for the 'After School Remedial Classes' program.</w:t>
      </w:r>
    </w:p>
    <w:p w14:paraId="0F558729" w14:textId="77777777" w:rsidR="00E049BA" w:rsidRDefault="00E049BA">
      <w:pPr>
        <w:widowControl w:val="0"/>
        <w:spacing w:after="0" w:line="240" w:lineRule="auto"/>
        <w:rPr>
          <w:sz w:val="24"/>
          <w:szCs w:val="24"/>
        </w:rPr>
      </w:pPr>
    </w:p>
    <w:p w14:paraId="5F2ED715" w14:textId="77777777" w:rsidR="00E049BA" w:rsidRDefault="00E049BA">
      <w:pPr>
        <w:spacing w:after="0" w:line="240" w:lineRule="auto"/>
      </w:pPr>
      <w:bookmarkStart w:id="1" w:name="_Toc309810475"/>
    </w:p>
    <w:p w14:paraId="22FE1A65" w14:textId="77777777" w:rsidR="00E049BA" w:rsidRDefault="00E049BA">
      <w:pPr>
        <w:sectPr w:rsidR="00E049BA">
          <w:pgSz w:w="12240" w:h="15840" w:code="1"/>
          <w:pgMar w:top="1440" w:right="1440" w:bottom="1440" w:left="1440" w:header="720" w:footer="720" w:gutter="0"/>
          <w:cols w:space="720"/>
          <w:docGrid w:linePitch="360"/>
        </w:sectPr>
      </w:pPr>
    </w:p>
    <w:p w14:paraId="09475F66" w14:textId="77777777" w:rsidR="00E049BA" w:rsidRDefault="002C06ED">
      <w:pPr>
        <w:pStyle w:val="Heading2"/>
        <w:rPr>
          <w:rFonts w:ascii="Calibri" w:hAnsi="Calibri"/>
          <w:i w:val="0"/>
        </w:rPr>
      </w:pPr>
      <w:r>
        <w:rPr>
          <w:rFonts w:ascii="Calibri" w:hAnsi="Calibri"/>
          <w:i w:val="0"/>
        </w:rPr>
        <w:lastRenderedPageBreak/>
        <w:t>CR-20 - Affordable Housing 91.520(b)</w:t>
      </w:r>
    </w:p>
    <w:p w14:paraId="12238334" w14:textId="77777777" w:rsidR="00E049BA" w:rsidRDefault="002C06ED">
      <w:pPr>
        <w:keepNext/>
        <w:widowControl w:val="0"/>
        <w:spacing w:after="0" w:line="240" w:lineRule="auto"/>
        <w:rPr>
          <w:b/>
          <w:sz w:val="24"/>
          <w:szCs w:val="24"/>
        </w:rPr>
      </w:pPr>
      <w:r>
        <w:rPr>
          <w:b/>
          <w:sz w:val="24"/>
          <w:szCs w:val="24"/>
        </w:rPr>
        <w:t xml:space="preserve">Evaluation of the jurisdiction's progress in providing affordable housing, including the number and types of families served, the number of extremely low-income, low-income, moderate-income, and middle-income </w:t>
      </w:r>
      <w:proofErr w:type="gramStart"/>
      <w:r>
        <w:rPr>
          <w:b/>
          <w:sz w:val="24"/>
          <w:szCs w:val="24"/>
        </w:rPr>
        <w:t>persons</w:t>
      </w:r>
      <w:proofErr w:type="gramEnd"/>
      <w:r>
        <w:rPr>
          <w:b/>
          <w:sz w:val="24"/>
          <w:szCs w:val="24"/>
        </w:rPr>
        <w:t xml:space="preserve"> served.</w:t>
      </w:r>
    </w:p>
    <w:p w14:paraId="776D2FBD" w14:textId="77777777" w:rsidR="00E049BA" w:rsidRDefault="00E049BA">
      <w:pPr>
        <w:keepNext/>
        <w:widowControl w:val="0"/>
        <w:spacing w:after="0" w:line="240" w:lineRule="auto"/>
        <w:rPr>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049BA" w14:paraId="2870881C" w14:textId="77777777">
        <w:trPr>
          <w:cantSplit/>
          <w:tblHeader/>
        </w:trPr>
        <w:tc>
          <w:tcPr>
            <w:tcW w:w="4293" w:type="dxa"/>
          </w:tcPr>
          <w:p w14:paraId="32CD5B4C" w14:textId="77777777" w:rsidR="00E049BA" w:rsidRDefault="00E049BA">
            <w:pPr>
              <w:pStyle w:val="Caption"/>
              <w:keepNext/>
              <w:widowControl w:val="0"/>
              <w:jc w:val="center"/>
              <w:rPr>
                <w:rFonts w:ascii="Calibri" w:hAnsi="Calibri"/>
                <w:sz w:val="22"/>
                <w:szCs w:val="22"/>
              </w:rPr>
            </w:pPr>
          </w:p>
        </w:tc>
        <w:tc>
          <w:tcPr>
            <w:tcW w:w="2648" w:type="dxa"/>
          </w:tcPr>
          <w:p w14:paraId="0B345358" w14:textId="77777777" w:rsidR="00E049BA" w:rsidRDefault="002C06E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716E1D8C" w14:textId="77777777" w:rsidR="00E049BA" w:rsidRDefault="002C06ED">
            <w:pPr>
              <w:pStyle w:val="Caption"/>
              <w:keepNext/>
              <w:widowControl w:val="0"/>
              <w:jc w:val="center"/>
              <w:rPr>
                <w:rFonts w:ascii="Calibri" w:hAnsi="Calibri"/>
                <w:sz w:val="22"/>
                <w:szCs w:val="22"/>
              </w:rPr>
            </w:pPr>
            <w:r>
              <w:rPr>
                <w:rFonts w:ascii="Calibri" w:hAnsi="Calibri"/>
                <w:sz w:val="22"/>
                <w:szCs w:val="22"/>
              </w:rPr>
              <w:t>Actual</w:t>
            </w:r>
          </w:p>
        </w:tc>
      </w:tr>
      <w:tr w:rsidR="00E049BA" w14:paraId="5C8C5C46" w14:textId="77777777">
        <w:trPr>
          <w:cantSplit/>
        </w:trPr>
        <w:tc>
          <w:tcPr>
            <w:tcW w:w="4293" w:type="dxa"/>
            <w:vAlign w:val="bottom"/>
          </w:tcPr>
          <w:p w14:paraId="00226494" w14:textId="77777777" w:rsidR="00E049BA" w:rsidRDefault="002C06ED">
            <w:pPr>
              <w:spacing w:beforeAutospacing="1" w:afterAutospacing="1"/>
            </w:pPr>
            <w:r>
              <w:rPr>
                <w:color w:val="000000"/>
              </w:rPr>
              <w:t xml:space="preserve">Number of Homeless households to be </w:t>
            </w:r>
            <w:proofErr w:type="gramStart"/>
            <w:r>
              <w:rPr>
                <w:color w:val="000000"/>
              </w:rPr>
              <w:t>provided</w:t>
            </w:r>
            <w:proofErr w:type="gramEnd"/>
            <w:r>
              <w:rPr>
                <w:color w:val="000000"/>
              </w:rPr>
              <w:t xml:space="preserve"> affordable housing units</w:t>
            </w:r>
          </w:p>
        </w:tc>
        <w:tc>
          <w:tcPr>
            <w:tcW w:w="2648" w:type="dxa"/>
            <w:vAlign w:val="bottom"/>
          </w:tcPr>
          <w:p w14:paraId="42794367" w14:textId="77777777" w:rsidR="00E049BA" w:rsidRDefault="002C06ED">
            <w:pPr>
              <w:spacing w:beforeAutospacing="1" w:afterAutospacing="1"/>
              <w:jc w:val="right"/>
            </w:pPr>
            <w:r>
              <w:rPr>
                <w:color w:val="000000"/>
              </w:rPr>
              <w:t>0</w:t>
            </w:r>
          </w:p>
        </w:tc>
        <w:tc>
          <w:tcPr>
            <w:tcW w:w="2649" w:type="dxa"/>
            <w:vAlign w:val="bottom"/>
          </w:tcPr>
          <w:p w14:paraId="411BA4C1" w14:textId="77777777" w:rsidR="00E049BA" w:rsidRDefault="002C06ED">
            <w:pPr>
              <w:spacing w:beforeAutospacing="1" w:afterAutospacing="1"/>
              <w:jc w:val="right"/>
            </w:pPr>
            <w:r>
              <w:rPr>
                <w:color w:val="000000"/>
              </w:rPr>
              <w:t>0</w:t>
            </w:r>
          </w:p>
        </w:tc>
      </w:tr>
      <w:tr w:rsidR="00E049BA" w14:paraId="0D14FF58" w14:textId="77777777">
        <w:trPr>
          <w:cantSplit/>
        </w:trPr>
        <w:tc>
          <w:tcPr>
            <w:tcW w:w="4293" w:type="dxa"/>
            <w:vAlign w:val="bottom"/>
          </w:tcPr>
          <w:p w14:paraId="0FBCD34E" w14:textId="77777777" w:rsidR="00E049BA" w:rsidRDefault="002C06ED">
            <w:pPr>
              <w:spacing w:beforeAutospacing="1" w:afterAutospacing="1"/>
            </w:pPr>
            <w:r>
              <w:rPr>
                <w:color w:val="000000"/>
              </w:rPr>
              <w:t xml:space="preserve">Number of </w:t>
            </w:r>
            <w:proofErr w:type="gramStart"/>
            <w:r>
              <w:rPr>
                <w:color w:val="000000"/>
              </w:rPr>
              <w:t>Non-Homeless</w:t>
            </w:r>
            <w:proofErr w:type="gramEnd"/>
            <w:r>
              <w:rPr>
                <w:color w:val="000000"/>
              </w:rPr>
              <w:t xml:space="preserve"> households to be </w:t>
            </w:r>
            <w:proofErr w:type="gramStart"/>
            <w:r>
              <w:rPr>
                <w:color w:val="000000"/>
              </w:rPr>
              <w:t>provided</w:t>
            </w:r>
            <w:proofErr w:type="gramEnd"/>
            <w:r>
              <w:rPr>
                <w:color w:val="000000"/>
              </w:rPr>
              <w:t xml:space="preserve"> affordable housing units</w:t>
            </w:r>
          </w:p>
        </w:tc>
        <w:tc>
          <w:tcPr>
            <w:tcW w:w="2648" w:type="dxa"/>
            <w:vAlign w:val="bottom"/>
          </w:tcPr>
          <w:p w14:paraId="5A032410" w14:textId="77777777" w:rsidR="00E049BA" w:rsidRDefault="002C06ED">
            <w:pPr>
              <w:spacing w:beforeAutospacing="1" w:afterAutospacing="1"/>
              <w:jc w:val="right"/>
            </w:pPr>
            <w:r>
              <w:rPr>
                <w:color w:val="000000"/>
              </w:rPr>
              <w:t>0</w:t>
            </w:r>
          </w:p>
        </w:tc>
        <w:tc>
          <w:tcPr>
            <w:tcW w:w="2649" w:type="dxa"/>
            <w:vAlign w:val="bottom"/>
          </w:tcPr>
          <w:p w14:paraId="458B53A7" w14:textId="77777777" w:rsidR="00E049BA" w:rsidRDefault="002C06ED">
            <w:pPr>
              <w:spacing w:beforeAutospacing="1" w:afterAutospacing="1"/>
              <w:jc w:val="right"/>
            </w:pPr>
            <w:r>
              <w:rPr>
                <w:color w:val="000000"/>
              </w:rPr>
              <w:t>0</w:t>
            </w:r>
          </w:p>
        </w:tc>
      </w:tr>
      <w:tr w:rsidR="00E049BA" w14:paraId="53490A9C" w14:textId="77777777">
        <w:trPr>
          <w:cantSplit/>
        </w:trPr>
        <w:tc>
          <w:tcPr>
            <w:tcW w:w="4293" w:type="dxa"/>
            <w:vAlign w:val="bottom"/>
          </w:tcPr>
          <w:p w14:paraId="799485FE" w14:textId="77777777" w:rsidR="00E049BA" w:rsidRDefault="002C06ED">
            <w:pPr>
              <w:spacing w:beforeAutospacing="1" w:afterAutospacing="1"/>
            </w:pPr>
            <w:r>
              <w:rPr>
                <w:color w:val="000000"/>
              </w:rPr>
              <w:t xml:space="preserve">Number of Special-Needs households to be </w:t>
            </w:r>
            <w:proofErr w:type="gramStart"/>
            <w:r>
              <w:rPr>
                <w:color w:val="000000"/>
              </w:rPr>
              <w:t>provided</w:t>
            </w:r>
            <w:proofErr w:type="gramEnd"/>
            <w:r>
              <w:rPr>
                <w:color w:val="000000"/>
              </w:rPr>
              <w:t xml:space="preserve"> affordable housing units</w:t>
            </w:r>
          </w:p>
        </w:tc>
        <w:tc>
          <w:tcPr>
            <w:tcW w:w="2648" w:type="dxa"/>
            <w:vAlign w:val="bottom"/>
          </w:tcPr>
          <w:p w14:paraId="51E555DC" w14:textId="77777777" w:rsidR="00E049BA" w:rsidRDefault="002C06ED">
            <w:pPr>
              <w:spacing w:beforeAutospacing="1" w:afterAutospacing="1"/>
              <w:jc w:val="right"/>
            </w:pPr>
            <w:r>
              <w:rPr>
                <w:color w:val="000000"/>
              </w:rPr>
              <w:t>0</w:t>
            </w:r>
          </w:p>
        </w:tc>
        <w:tc>
          <w:tcPr>
            <w:tcW w:w="2649" w:type="dxa"/>
            <w:vAlign w:val="bottom"/>
          </w:tcPr>
          <w:p w14:paraId="661BCB09" w14:textId="77777777" w:rsidR="00E049BA" w:rsidRDefault="002C06ED">
            <w:pPr>
              <w:spacing w:beforeAutospacing="1" w:afterAutospacing="1"/>
              <w:jc w:val="right"/>
            </w:pPr>
            <w:r>
              <w:rPr>
                <w:color w:val="000000"/>
              </w:rPr>
              <w:t>0</w:t>
            </w:r>
          </w:p>
        </w:tc>
      </w:tr>
      <w:tr w:rsidR="00E049BA" w14:paraId="613E5538" w14:textId="77777777">
        <w:trPr>
          <w:cantSplit/>
        </w:trPr>
        <w:tc>
          <w:tcPr>
            <w:tcW w:w="4293" w:type="dxa"/>
          </w:tcPr>
          <w:p w14:paraId="3428E38E" w14:textId="77777777" w:rsidR="00E049BA" w:rsidRDefault="002C06ED">
            <w:pPr>
              <w:spacing w:beforeAutospacing="1" w:afterAutospacing="1"/>
            </w:pPr>
            <w:r>
              <w:rPr>
                <w:b/>
                <w:color w:val="000000"/>
              </w:rPr>
              <w:t>Total</w:t>
            </w:r>
          </w:p>
        </w:tc>
        <w:tc>
          <w:tcPr>
            <w:tcW w:w="2648" w:type="dxa"/>
            <w:vAlign w:val="bottom"/>
          </w:tcPr>
          <w:p w14:paraId="1FAE931B" w14:textId="77777777" w:rsidR="00E049BA" w:rsidRDefault="002C06ED">
            <w:pPr>
              <w:spacing w:beforeAutospacing="1" w:afterAutospacing="1"/>
              <w:jc w:val="right"/>
            </w:pPr>
            <w:r>
              <w:rPr>
                <w:b/>
                <w:color w:val="000000"/>
              </w:rPr>
              <w:t>0</w:t>
            </w:r>
          </w:p>
        </w:tc>
        <w:tc>
          <w:tcPr>
            <w:tcW w:w="2649" w:type="dxa"/>
            <w:vAlign w:val="bottom"/>
          </w:tcPr>
          <w:p w14:paraId="074E4875" w14:textId="77777777" w:rsidR="00E049BA" w:rsidRDefault="002C06ED">
            <w:pPr>
              <w:spacing w:beforeAutospacing="1" w:afterAutospacing="1"/>
              <w:jc w:val="right"/>
            </w:pPr>
            <w:r>
              <w:rPr>
                <w:b/>
                <w:color w:val="000000"/>
              </w:rPr>
              <w:t>0</w:t>
            </w:r>
          </w:p>
        </w:tc>
      </w:tr>
    </w:tbl>
    <w:p w14:paraId="2F581F55"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Number of Households</w:t>
      </w:r>
    </w:p>
    <w:p w14:paraId="62B6DF7C" w14:textId="77777777" w:rsidR="00E049BA" w:rsidRDefault="00E049BA"/>
    <w:p w14:paraId="1CA88F8F" w14:textId="77777777" w:rsidR="00E049BA" w:rsidRDefault="00E049BA"/>
    <w:p w14:paraId="09982FED" w14:textId="77777777" w:rsidR="00E049BA" w:rsidRDefault="00E049BA">
      <w:pPr>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83"/>
        <w:gridCol w:w="2583"/>
        <w:gridCol w:w="2584"/>
      </w:tblGrid>
      <w:tr w:rsidR="00E049BA" w14:paraId="2269971C" w14:textId="77777777">
        <w:trPr>
          <w:cantSplit/>
          <w:tblHeader/>
        </w:trPr>
        <w:tc>
          <w:tcPr>
            <w:tcW w:w="4293" w:type="dxa"/>
          </w:tcPr>
          <w:p w14:paraId="2E735BCF" w14:textId="77777777" w:rsidR="00E049BA" w:rsidRDefault="00E049BA">
            <w:pPr>
              <w:pStyle w:val="Caption"/>
              <w:keepNext/>
              <w:widowControl w:val="0"/>
              <w:jc w:val="center"/>
              <w:rPr>
                <w:rFonts w:ascii="Calibri" w:hAnsi="Calibri"/>
                <w:sz w:val="22"/>
                <w:szCs w:val="22"/>
              </w:rPr>
            </w:pPr>
          </w:p>
        </w:tc>
        <w:tc>
          <w:tcPr>
            <w:tcW w:w="2648" w:type="dxa"/>
          </w:tcPr>
          <w:p w14:paraId="1A95DD55" w14:textId="77777777" w:rsidR="00E049BA" w:rsidRDefault="002C06ED">
            <w:pPr>
              <w:pStyle w:val="Caption"/>
              <w:keepNext/>
              <w:widowControl w:val="0"/>
              <w:jc w:val="center"/>
              <w:rPr>
                <w:rFonts w:ascii="Calibri" w:hAnsi="Calibri"/>
                <w:sz w:val="22"/>
                <w:szCs w:val="22"/>
              </w:rPr>
            </w:pPr>
            <w:r>
              <w:rPr>
                <w:rFonts w:ascii="Calibri" w:hAnsi="Calibri"/>
                <w:sz w:val="22"/>
                <w:szCs w:val="22"/>
              </w:rPr>
              <w:t>One-Year Goal</w:t>
            </w:r>
          </w:p>
        </w:tc>
        <w:tc>
          <w:tcPr>
            <w:tcW w:w="2649" w:type="dxa"/>
          </w:tcPr>
          <w:p w14:paraId="0258C426" w14:textId="77777777" w:rsidR="00E049BA" w:rsidRDefault="002C06ED">
            <w:pPr>
              <w:pStyle w:val="Caption"/>
              <w:keepNext/>
              <w:widowControl w:val="0"/>
              <w:jc w:val="center"/>
              <w:rPr>
                <w:rFonts w:ascii="Calibri" w:hAnsi="Calibri"/>
                <w:sz w:val="22"/>
                <w:szCs w:val="22"/>
              </w:rPr>
            </w:pPr>
            <w:r>
              <w:rPr>
                <w:rFonts w:ascii="Calibri" w:hAnsi="Calibri"/>
                <w:sz w:val="22"/>
                <w:szCs w:val="22"/>
              </w:rPr>
              <w:t>Actual</w:t>
            </w:r>
          </w:p>
        </w:tc>
      </w:tr>
      <w:tr w:rsidR="00E049BA" w14:paraId="406F0136" w14:textId="77777777">
        <w:trPr>
          <w:cantSplit/>
        </w:trPr>
        <w:tc>
          <w:tcPr>
            <w:tcW w:w="4293" w:type="dxa"/>
            <w:vAlign w:val="bottom"/>
          </w:tcPr>
          <w:p w14:paraId="47D6D495" w14:textId="77777777" w:rsidR="00E049BA" w:rsidRDefault="002C06ED">
            <w:pPr>
              <w:spacing w:beforeAutospacing="1" w:afterAutospacing="1"/>
            </w:pPr>
            <w:r>
              <w:rPr>
                <w:color w:val="000000"/>
              </w:rPr>
              <w:t>Number of households supported through Rental Assistance</w:t>
            </w:r>
          </w:p>
        </w:tc>
        <w:tc>
          <w:tcPr>
            <w:tcW w:w="2648" w:type="dxa"/>
            <w:vAlign w:val="bottom"/>
          </w:tcPr>
          <w:p w14:paraId="17A62695" w14:textId="77777777" w:rsidR="00E049BA" w:rsidRDefault="002C06ED">
            <w:pPr>
              <w:spacing w:beforeAutospacing="1" w:afterAutospacing="1"/>
              <w:jc w:val="right"/>
            </w:pPr>
            <w:r>
              <w:rPr>
                <w:color w:val="000000"/>
              </w:rPr>
              <w:t>7</w:t>
            </w:r>
          </w:p>
        </w:tc>
        <w:tc>
          <w:tcPr>
            <w:tcW w:w="2649" w:type="dxa"/>
            <w:vAlign w:val="bottom"/>
          </w:tcPr>
          <w:p w14:paraId="5C22DC6C" w14:textId="77777777" w:rsidR="00E049BA" w:rsidRDefault="002C06ED">
            <w:pPr>
              <w:spacing w:beforeAutospacing="1" w:afterAutospacing="1"/>
              <w:jc w:val="right"/>
            </w:pPr>
            <w:r>
              <w:rPr>
                <w:color w:val="000000"/>
              </w:rPr>
              <w:t>5</w:t>
            </w:r>
          </w:p>
        </w:tc>
      </w:tr>
      <w:tr w:rsidR="00E049BA" w14:paraId="053031DD" w14:textId="77777777">
        <w:trPr>
          <w:cantSplit/>
        </w:trPr>
        <w:tc>
          <w:tcPr>
            <w:tcW w:w="4293" w:type="dxa"/>
            <w:vAlign w:val="bottom"/>
          </w:tcPr>
          <w:p w14:paraId="7D8E569F" w14:textId="77777777" w:rsidR="00E049BA" w:rsidRDefault="002C06ED">
            <w:pPr>
              <w:spacing w:beforeAutospacing="1" w:afterAutospacing="1"/>
            </w:pPr>
            <w:r>
              <w:rPr>
                <w:color w:val="000000"/>
              </w:rPr>
              <w:t>Number of households supported through The Production of New Units</w:t>
            </w:r>
          </w:p>
        </w:tc>
        <w:tc>
          <w:tcPr>
            <w:tcW w:w="2648" w:type="dxa"/>
            <w:vAlign w:val="bottom"/>
          </w:tcPr>
          <w:p w14:paraId="589E0214" w14:textId="77777777" w:rsidR="00E049BA" w:rsidRDefault="002C06ED">
            <w:pPr>
              <w:spacing w:beforeAutospacing="1" w:afterAutospacing="1"/>
              <w:jc w:val="right"/>
            </w:pPr>
            <w:r>
              <w:rPr>
                <w:color w:val="000000"/>
              </w:rPr>
              <w:t>0</w:t>
            </w:r>
          </w:p>
        </w:tc>
        <w:tc>
          <w:tcPr>
            <w:tcW w:w="2649" w:type="dxa"/>
            <w:vAlign w:val="bottom"/>
          </w:tcPr>
          <w:p w14:paraId="40C29DE5" w14:textId="77777777" w:rsidR="00E049BA" w:rsidRDefault="002C06ED">
            <w:pPr>
              <w:spacing w:beforeAutospacing="1" w:afterAutospacing="1"/>
              <w:jc w:val="right"/>
            </w:pPr>
            <w:r>
              <w:rPr>
                <w:color w:val="000000"/>
              </w:rPr>
              <w:t>0</w:t>
            </w:r>
          </w:p>
        </w:tc>
      </w:tr>
      <w:tr w:rsidR="00E049BA" w14:paraId="46659B9A" w14:textId="77777777">
        <w:trPr>
          <w:cantSplit/>
        </w:trPr>
        <w:tc>
          <w:tcPr>
            <w:tcW w:w="4293" w:type="dxa"/>
            <w:vAlign w:val="bottom"/>
          </w:tcPr>
          <w:p w14:paraId="24F58C55" w14:textId="77777777" w:rsidR="00E049BA" w:rsidRDefault="002C06ED">
            <w:pPr>
              <w:spacing w:beforeAutospacing="1" w:afterAutospacing="1"/>
            </w:pPr>
            <w:r>
              <w:rPr>
                <w:color w:val="000000"/>
              </w:rPr>
              <w:t>Number of households supported through Rehab of Existing Units</w:t>
            </w:r>
          </w:p>
        </w:tc>
        <w:tc>
          <w:tcPr>
            <w:tcW w:w="2648" w:type="dxa"/>
            <w:vAlign w:val="bottom"/>
          </w:tcPr>
          <w:p w14:paraId="7B155053" w14:textId="77777777" w:rsidR="00E049BA" w:rsidRDefault="002C06ED">
            <w:pPr>
              <w:spacing w:beforeAutospacing="1" w:afterAutospacing="1"/>
              <w:jc w:val="right"/>
            </w:pPr>
            <w:r>
              <w:rPr>
                <w:color w:val="000000"/>
              </w:rPr>
              <w:t>20</w:t>
            </w:r>
          </w:p>
        </w:tc>
        <w:tc>
          <w:tcPr>
            <w:tcW w:w="2649" w:type="dxa"/>
            <w:vAlign w:val="bottom"/>
          </w:tcPr>
          <w:p w14:paraId="7BB769DF" w14:textId="77777777" w:rsidR="00E049BA" w:rsidRDefault="002C06ED">
            <w:pPr>
              <w:spacing w:beforeAutospacing="1" w:afterAutospacing="1"/>
              <w:jc w:val="right"/>
            </w:pPr>
            <w:r>
              <w:rPr>
                <w:color w:val="000000"/>
              </w:rPr>
              <w:t>10</w:t>
            </w:r>
          </w:p>
        </w:tc>
      </w:tr>
      <w:tr w:rsidR="00E049BA" w14:paraId="33715CE4" w14:textId="77777777">
        <w:trPr>
          <w:cantSplit/>
        </w:trPr>
        <w:tc>
          <w:tcPr>
            <w:tcW w:w="4293" w:type="dxa"/>
            <w:vAlign w:val="bottom"/>
          </w:tcPr>
          <w:p w14:paraId="430F4C12" w14:textId="77777777" w:rsidR="00E049BA" w:rsidRDefault="002C06ED">
            <w:pPr>
              <w:spacing w:beforeAutospacing="1" w:afterAutospacing="1"/>
            </w:pPr>
            <w:r>
              <w:rPr>
                <w:color w:val="000000"/>
              </w:rPr>
              <w:t>Number of households supported through Acquisition of Existing Units</w:t>
            </w:r>
          </w:p>
        </w:tc>
        <w:tc>
          <w:tcPr>
            <w:tcW w:w="2648" w:type="dxa"/>
            <w:vAlign w:val="bottom"/>
          </w:tcPr>
          <w:p w14:paraId="3CE6224F" w14:textId="77777777" w:rsidR="00E049BA" w:rsidRDefault="002C06ED">
            <w:pPr>
              <w:spacing w:beforeAutospacing="1" w:afterAutospacing="1"/>
              <w:jc w:val="right"/>
            </w:pPr>
            <w:r>
              <w:rPr>
                <w:color w:val="000000"/>
              </w:rPr>
              <w:t>1</w:t>
            </w:r>
          </w:p>
        </w:tc>
        <w:tc>
          <w:tcPr>
            <w:tcW w:w="2649" w:type="dxa"/>
            <w:vAlign w:val="bottom"/>
          </w:tcPr>
          <w:p w14:paraId="63BF0D62" w14:textId="77777777" w:rsidR="00E049BA" w:rsidRDefault="002C06ED">
            <w:pPr>
              <w:spacing w:beforeAutospacing="1" w:afterAutospacing="1"/>
              <w:jc w:val="right"/>
            </w:pPr>
            <w:r>
              <w:rPr>
                <w:color w:val="000000"/>
              </w:rPr>
              <w:t>0</w:t>
            </w:r>
          </w:p>
        </w:tc>
      </w:tr>
      <w:tr w:rsidR="00E049BA" w14:paraId="73EFFD34" w14:textId="77777777">
        <w:trPr>
          <w:cantSplit/>
        </w:trPr>
        <w:tc>
          <w:tcPr>
            <w:tcW w:w="4293" w:type="dxa"/>
          </w:tcPr>
          <w:p w14:paraId="1F056D13" w14:textId="77777777" w:rsidR="00E049BA" w:rsidRDefault="002C06ED">
            <w:pPr>
              <w:spacing w:beforeAutospacing="1" w:afterAutospacing="1"/>
            </w:pPr>
            <w:r>
              <w:rPr>
                <w:b/>
                <w:color w:val="000000"/>
              </w:rPr>
              <w:t>Total</w:t>
            </w:r>
          </w:p>
        </w:tc>
        <w:tc>
          <w:tcPr>
            <w:tcW w:w="2648" w:type="dxa"/>
            <w:vAlign w:val="bottom"/>
          </w:tcPr>
          <w:p w14:paraId="2E362801" w14:textId="77777777" w:rsidR="00E049BA" w:rsidRDefault="002C06ED">
            <w:pPr>
              <w:spacing w:beforeAutospacing="1" w:afterAutospacing="1"/>
              <w:jc w:val="right"/>
            </w:pPr>
            <w:r>
              <w:rPr>
                <w:b/>
                <w:color w:val="000000"/>
              </w:rPr>
              <w:t>28</w:t>
            </w:r>
          </w:p>
        </w:tc>
        <w:tc>
          <w:tcPr>
            <w:tcW w:w="2649" w:type="dxa"/>
            <w:vAlign w:val="bottom"/>
          </w:tcPr>
          <w:p w14:paraId="6EA96762" w14:textId="77777777" w:rsidR="00E049BA" w:rsidRDefault="002C06ED">
            <w:pPr>
              <w:spacing w:beforeAutospacing="1" w:afterAutospacing="1"/>
              <w:jc w:val="right"/>
            </w:pPr>
            <w:r>
              <w:rPr>
                <w:b/>
                <w:color w:val="000000"/>
              </w:rPr>
              <w:t>15</w:t>
            </w:r>
          </w:p>
        </w:tc>
      </w:tr>
    </w:tbl>
    <w:p w14:paraId="58D1B597"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Number of Households Supported</w:t>
      </w:r>
    </w:p>
    <w:p w14:paraId="00304BE2" w14:textId="77777777" w:rsidR="00E049BA" w:rsidRDefault="00E049BA">
      <w:pPr>
        <w:rPr>
          <w:rFonts w:cs="Arial"/>
        </w:rPr>
      </w:pPr>
    </w:p>
    <w:p w14:paraId="57DBD166" w14:textId="77777777" w:rsidR="00E049BA" w:rsidRDefault="00E049BA">
      <w:pPr>
        <w:rPr>
          <w:rFonts w:cs="Arial"/>
        </w:rPr>
      </w:pPr>
    </w:p>
    <w:p w14:paraId="26FD2E05" w14:textId="77777777" w:rsidR="00E049BA" w:rsidRDefault="002C06ED">
      <w:pPr>
        <w:widowControl w:val="0"/>
        <w:spacing w:line="204" w:lineRule="auto"/>
        <w:rPr>
          <w:b/>
          <w:sz w:val="24"/>
          <w:szCs w:val="24"/>
        </w:rPr>
      </w:pPr>
      <w:r>
        <w:rPr>
          <w:b/>
          <w:sz w:val="24"/>
          <w:szCs w:val="24"/>
        </w:rPr>
        <w:t>Discuss the difference between goals and outcomes and problems encountered in meeting these goals.</w:t>
      </w:r>
    </w:p>
    <w:p w14:paraId="59DB3042" w14:textId="77777777" w:rsidR="00E049BA" w:rsidRDefault="002C06ED">
      <w:pPr>
        <w:spacing w:beforeAutospacing="1" w:afterAutospacing="1"/>
        <w:rPr>
          <w:rFonts w:cs="Arial"/>
        </w:rPr>
      </w:pPr>
      <w:r>
        <w:rPr>
          <w:rFonts w:cs="Arial"/>
        </w:rPr>
        <w:t xml:space="preserve">It is impossible to predict accurately either the number of people to be served as a goal or the number of units as a goal. Based on historical data, one may reasonably estimate a potential future number served with the funds available, with the understanding that one cannot control the number of eligible people that </w:t>
      </w:r>
      <w:proofErr w:type="gramStart"/>
      <w:r>
        <w:rPr>
          <w:rFonts w:cs="Arial"/>
        </w:rPr>
        <w:t>actually accept</w:t>
      </w:r>
      <w:proofErr w:type="gramEnd"/>
      <w:r>
        <w:rPr>
          <w:rFonts w:cs="Arial"/>
        </w:rPr>
        <w:t xml:space="preserve"> the services offered or the availability of units for acquisition given the existing funding. The above goals were reasonable estimates, based on funding and past performance.</w:t>
      </w:r>
    </w:p>
    <w:p w14:paraId="48D747E4" w14:textId="77777777" w:rsidR="00E049BA" w:rsidRDefault="002C06ED">
      <w:pPr>
        <w:spacing w:beforeAutospacing="1" w:afterAutospacing="1"/>
        <w:rPr>
          <w:rFonts w:cs="Arial"/>
        </w:rPr>
      </w:pPr>
      <w:r>
        <w:rPr>
          <w:rFonts w:cs="Arial"/>
        </w:rPr>
        <w:lastRenderedPageBreak/>
        <w:t>The goal for the First Time Homebuyers Assistance Program was nine households, but there were no participants during the program year.  During 2023, Cranston purchased a home and rehabilitated it. This year, the house was sold to an income eligible family, a widow and her son.</w:t>
      </w:r>
    </w:p>
    <w:p w14:paraId="05EDCF99" w14:textId="77777777" w:rsidR="00E049BA" w:rsidRDefault="002C06ED">
      <w:pPr>
        <w:widowControl w:val="0"/>
        <w:spacing w:line="204" w:lineRule="auto"/>
        <w:rPr>
          <w:b/>
          <w:sz w:val="24"/>
          <w:szCs w:val="24"/>
        </w:rPr>
      </w:pPr>
      <w:r>
        <w:rPr>
          <w:b/>
          <w:sz w:val="24"/>
          <w:szCs w:val="24"/>
        </w:rPr>
        <w:t>Discuss how these outcomes will impact future annual action plans.</w:t>
      </w:r>
    </w:p>
    <w:p w14:paraId="0F41C4ED" w14:textId="77777777" w:rsidR="00E049BA" w:rsidRDefault="002C06ED">
      <w:pPr>
        <w:spacing w:beforeAutospacing="1" w:afterAutospacing="1"/>
        <w:rPr>
          <w:rFonts w:cs="Arial"/>
        </w:rPr>
      </w:pPr>
      <w:r>
        <w:rPr>
          <w:rFonts w:cs="Arial"/>
        </w:rPr>
        <w:t xml:space="preserve">The amount of available annual funds will be the determinate factor in the number of proposed units as annual goals. The City continues to emphasize the rehabilitation of existing owner-occupied housing stock, the availability of </w:t>
      </w:r>
      <w:proofErr w:type="gramStart"/>
      <w:r>
        <w:rPr>
          <w:rFonts w:cs="Arial"/>
        </w:rPr>
        <w:t>first time</w:t>
      </w:r>
      <w:proofErr w:type="gramEnd"/>
      <w:r>
        <w:rPr>
          <w:rFonts w:cs="Arial"/>
        </w:rPr>
        <w:t xml:space="preserve"> </w:t>
      </w:r>
      <w:proofErr w:type="gramStart"/>
      <w:r>
        <w:rPr>
          <w:rFonts w:cs="Arial"/>
        </w:rPr>
        <w:t>homebuyers</w:t>
      </w:r>
      <w:proofErr w:type="gramEnd"/>
      <w:r>
        <w:rPr>
          <w:rFonts w:cs="Arial"/>
        </w:rPr>
        <w:t xml:space="preserve"> assistance for eligible applicants, and the acquisition of vacant housing for rehabilitation and subsequent sale to eligible households. </w:t>
      </w:r>
    </w:p>
    <w:p w14:paraId="692C6F3E" w14:textId="77777777" w:rsidR="00E049BA" w:rsidRDefault="002C06ED">
      <w:pPr>
        <w:keepNext/>
        <w:widowControl w:val="0"/>
        <w:spacing w:line="204" w:lineRule="auto"/>
        <w:rPr>
          <w:b/>
          <w:sz w:val="24"/>
          <w:szCs w:val="24"/>
        </w:rPr>
      </w:pPr>
      <w:r>
        <w:rPr>
          <w:b/>
          <w:sz w:val="24"/>
          <w:szCs w:val="24"/>
        </w:rPr>
        <w:t xml:space="preserve">Include the number of extremely low-income, low-income, and moderate-income </w:t>
      </w:r>
      <w:proofErr w:type="gramStart"/>
      <w:r>
        <w:rPr>
          <w:b/>
          <w:sz w:val="24"/>
          <w:szCs w:val="24"/>
        </w:rPr>
        <w:t>persons</w:t>
      </w:r>
      <w:proofErr w:type="gramEnd"/>
      <w:r>
        <w:rPr>
          <w:b/>
          <w:sz w:val="24"/>
          <w:szCs w:val="24"/>
        </w:rPr>
        <w:t xml:space="preserve"> served by each activity where information on income by family size is required to determine the eligibility of the activity.</w:t>
      </w:r>
    </w:p>
    <w:p w14:paraId="68B491BC" w14:textId="77777777" w:rsidR="00E049BA" w:rsidRDefault="00E049BA">
      <w:pPr>
        <w:widowControl w:val="0"/>
        <w:spacing w:line="204" w:lineRule="auto"/>
        <w:rPr>
          <w:b/>
          <w:vanish/>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081"/>
        <w:gridCol w:w="1859"/>
        <w:gridCol w:w="1890"/>
        <w:gridCol w:w="25"/>
      </w:tblGrid>
      <w:tr w:rsidR="00E049BA" w14:paraId="26FB2E62" w14:textId="77777777">
        <w:trPr>
          <w:cantSplit/>
        </w:trPr>
        <w:tc>
          <w:tcPr>
            <w:tcW w:w="4081" w:type="dxa"/>
          </w:tcPr>
          <w:p w14:paraId="7247CEEE" w14:textId="77777777" w:rsidR="00E049BA" w:rsidRDefault="002C06ED">
            <w:pPr>
              <w:keepNext/>
              <w:widowControl w:val="0"/>
              <w:spacing w:after="0" w:line="240" w:lineRule="auto"/>
              <w:jc w:val="center"/>
              <w:rPr>
                <w:b/>
              </w:rPr>
            </w:pPr>
            <w:proofErr w:type="gramStart"/>
            <w:r>
              <w:rPr>
                <w:b/>
              </w:rPr>
              <w:t>Number  of</w:t>
            </w:r>
            <w:proofErr w:type="gramEnd"/>
            <w:r>
              <w:rPr>
                <w:b/>
              </w:rPr>
              <w:t xml:space="preserve"> Households Served</w:t>
            </w:r>
          </w:p>
        </w:tc>
        <w:tc>
          <w:tcPr>
            <w:tcW w:w="1859" w:type="dxa"/>
          </w:tcPr>
          <w:p w14:paraId="47DA8768" w14:textId="77777777" w:rsidR="00E049BA" w:rsidRDefault="002C06ED">
            <w:pPr>
              <w:keepNext/>
              <w:widowControl w:val="0"/>
              <w:spacing w:after="0" w:line="240" w:lineRule="auto"/>
              <w:jc w:val="center"/>
              <w:rPr>
                <w:b/>
              </w:rPr>
            </w:pPr>
            <w:r>
              <w:rPr>
                <w:b/>
              </w:rPr>
              <w:t>CDBG Actual</w:t>
            </w:r>
          </w:p>
        </w:tc>
        <w:tc>
          <w:tcPr>
            <w:tcW w:w="1915" w:type="dxa"/>
            <w:gridSpan w:val="2"/>
          </w:tcPr>
          <w:p w14:paraId="25897FDE" w14:textId="77777777" w:rsidR="00E049BA" w:rsidRDefault="002C06ED">
            <w:pPr>
              <w:keepNext/>
              <w:widowControl w:val="0"/>
              <w:spacing w:after="0" w:line="240" w:lineRule="auto"/>
              <w:jc w:val="center"/>
              <w:rPr>
                <w:b/>
              </w:rPr>
            </w:pPr>
            <w:r>
              <w:rPr>
                <w:b/>
              </w:rPr>
              <w:t>HOME Actual</w:t>
            </w:r>
          </w:p>
        </w:tc>
      </w:tr>
      <w:tr w:rsidR="00E049BA" w14:paraId="16B789A8" w14:textId="77777777">
        <w:trPr>
          <w:gridAfter w:val="1"/>
          <w:wAfter w:w="25" w:type="dxa"/>
          <w:cantSplit/>
        </w:trPr>
        <w:tc>
          <w:tcPr>
            <w:tcW w:w="4081" w:type="dxa"/>
            <w:vAlign w:val="bottom"/>
          </w:tcPr>
          <w:p w14:paraId="0D2F2B10" w14:textId="77777777" w:rsidR="00E049BA" w:rsidRDefault="002C06ED">
            <w:pPr>
              <w:spacing w:beforeAutospacing="1" w:afterAutospacing="1"/>
            </w:pPr>
            <w:r>
              <w:rPr>
                <w:color w:val="000000"/>
              </w:rPr>
              <w:t>Extremely Low-income</w:t>
            </w:r>
          </w:p>
        </w:tc>
        <w:tc>
          <w:tcPr>
            <w:tcW w:w="1859" w:type="dxa"/>
            <w:vAlign w:val="bottom"/>
          </w:tcPr>
          <w:p w14:paraId="6593C6E6" w14:textId="77777777" w:rsidR="00E049BA" w:rsidRDefault="002C06ED">
            <w:pPr>
              <w:spacing w:beforeAutospacing="1" w:afterAutospacing="1"/>
              <w:jc w:val="right"/>
            </w:pPr>
            <w:r>
              <w:rPr>
                <w:color w:val="000000"/>
              </w:rPr>
              <w:t>1</w:t>
            </w:r>
          </w:p>
        </w:tc>
        <w:tc>
          <w:tcPr>
            <w:tcW w:w="1890" w:type="dxa"/>
            <w:vAlign w:val="bottom"/>
          </w:tcPr>
          <w:p w14:paraId="71424755" w14:textId="77777777" w:rsidR="00E049BA" w:rsidRDefault="002C06ED">
            <w:pPr>
              <w:spacing w:beforeAutospacing="1" w:afterAutospacing="1"/>
              <w:jc w:val="right"/>
            </w:pPr>
            <w:r>
              <w:rPr>
                <w:color w:val="000000"/>
              </w:rPr>
              <w:t>0</w:t>
            </w:r>
          </w:p>
        </w:tc>
      </w:tr>
      <w:tr w:rsidR="00E049BA" w14:paraId="143C8598" w14:textId="77777777">
        <w:trPr>
          <w:gridAfter w:val="1"/>
          <w:wAfter w:w="25" w:type="dxa"/>
          <w:cantSplit/>
        </w:trPr>
        <w:tc>
          <w:tcPr>
            <w:tcW w:w="4081" w:type="dxa"/>
            <w:vAlign w:val="bottom"/>
          </w:tcPr>
          <w:p w14:paraId="1A28BC96" w14:textId="77777777" w:rsidR="00E049BA" w:rsidRDefault="002C06ED">
            <w:pPr>
              <w:spacing w:beforeAutospacing="1" w:afterAutospacing="1"/>
            </w:pPr>
            <w:r>
              <w:rPr>
                <w:color w:val="000000"/>
              </w:rPr>
              <w:t>Low-income</w:t>
            </w:r>
          </w:p>
        </w:tc>
        <w:tc>
          <w:tcPr>
            <w:tcW w:w="1859" w:type="dxa"/>
            <w:vAlign w:val="bottom"/>
          </w:tcPr>
          <w:p w14:paraId="27D79611" w14:textId="77777777" w:rsidR="00E049BA" w:rsidRDefault="002C06ED">
            <w:pPr>
              <w:spacing w:beforeAutospacing="1" w:afterAutospacing="1"/>
              <w:jc w:val="right"/>
            </w:pPr>
            <w:r>
              <w:rPr>
                <w:color w:val="000000"/>
              </w:rPr>
              <w:t>4</w:t>
            </w:r>
          </w:p>
        </w:tc>
        <w:tc>
          <w:tcPr>
            <w:tcW w:w="1890" w:type="dxa"/>
            <w:vAlign w:val="bottom"/>
          </w:tcPr>
          <w:p w14:paraId="14A4E045" w14:textId="77777777" w:rsidR="00E049BA" w:rsidRDefault="002C06ED">
            <w:pPr>
              <w:spacing w:beforeAutospacing="1" w:afterAutospacing="1"/>
              <w:jc w:val="right"/>
            </w:pPr>
            <w:r>
              <w:rPr>
                <w:color w:val="000000"/>
              </w:rPr>
              <w:t>0</w:t>
            </w:r>
          </w:p>
        </w:tc>
      </w:tr>
      <w:tr w:rsidR="00E049BA" w14:paraId="6C3AAB20" w14:textId="77777777">
        <w:trPr>
          <w:gridAfter w:val="1"/>
          <w:wAfter w:w="25" w:type="dxa"/>
          <w:cantSplit/>
        </w:trPr>
        <w:tc>
          <w:tcPr>
            <w:tcW w:w="4081" w:type="dxa"/>
            <w:vAlign w:val="bottom"/>
          </w:tcPr>
          <w:p w14:paraId="70DDD97B" w14:textId="77777777" w:rsidR="00E049BA" w:rsidRDefault="002C06ED">
            <w:pPr>
              <w:spacing w:beforeAutospacing="1" w:afterAutospacing="1"/>
            </w:pPr>
            <w:r>
              <w:rPr>
                <w:color w:val="000000"/>
              </w:rPr>
              <w:t>Moderate-income</w:t>
            </w:r>
          </w:p>
        </w:tc>
        <w:tc>
          <w:tcPr>
            <w:tcW w:w="1859" w:type="dxa"/>
            <w:vAlign w:val="bottom"/>
          </w:tcPr>
          <w:p w14:paraId="09ED258B" w14:textId="77777777" w:rsidR="00E049BA" w:rsidRDefault="002C06ED">
            <w:pPr>
              <w:spacing w:beforeAutospacing="1" w:afterAutospacing="1"/>
              <w:jc w:val="right"/>
            </w:pPr>
            <w:r>
              <w:rPr>
                <w:color w:val="000000"/>
              </w:rPr>
              <w:t>5</w:t>
            </w:r>
          </w:p>
        </w:tc>
        <w:tc>
          <w:tcPr>
            <w:tcW w:w="1890" w:type="dxa"/>
            <w:vAlign w:val="bottom"/>
          </w:tcPr>
          <w:p w14:paraId="69C601A9" w14:textId="77777777" w:rsidR="00E049BA" w:rsidRDefault="002C06ED">
            <w:pPr>
              <w:spacing w:beforeAutospacing="1" w:afterAutospacing="1"/>
              <w:jc w:val="right"/>
            </w:pPr>
            <w:r>
              <w:rPr>
                <w:color w:val="000000"/>
              </w:rPr>
              <w:t>0</w:t>
            </w:r>
          </w:p>
        </w:tc>
      </w:tr>
      <w:tr w:rsidR="00E049BA" w14:paraId="5B550A90" w14:textId="77777777">
        <w:trPr>
          <w:gridAfter w:val="1"/>
          <w:wAfter w:w="25" w:type="dxa"/>
          <w:cantSplit/>
        </w:trPr>
        <w:tc>
          <w:tcPr>
            <w:tcW w:w="4081" w:type="dxa"/>
            <w:vAlign w:val="bottom"/>
          </w:tcPr>
          <w:p w14:paraId="21C3D8B2" w14:textId="77777777" w:rsidR="00E049BA" w:rsidRDefault="002C06ED">
            <w:pPr>
              <w:spacing w:beforeAutospacing="1" w:afterAutospacing="1"/>
            </w:pPr>
            <w:r>
              <w:rPr>
                <w:b/>
                <w:color w:val="000000"/>
              </w:rPr>
              <w:t>Total</w:t>
            </w:r>
          </w:p>
        </w:tc>
        <w:tc>
          <w:tcPr>
            <w:tcW w:w="1859" w:type="dxa"/>
            <w:vAlign w:val="bottom"/>
          </w:tcPr>
          <w:p w14:paraId="715CF80E" w14:textId="77777777" w:rsidR="00E049BA" w:rsidRDefault="002C06ED">
            <w:pPr>
              <w:spacing w:beforeAutospacing="1" w:afterAutospacing="1"/>
              <w:jc w:val="right"/>
            </w:pPr>
            <w:r>
              <w:rPr>
                <w:b/>
                <w:color w:val="000000"/>
              </w:rPr>
              <w:t>10</w:t>
            </w:r>
          </w:p>
        </w:tc>
        <w:tc>
          <w:tcPr>
            <w:tcW w:w="1890" w:type="dxa"/>
            <w:vAlign w:val="bottom"/>
          </w:tcPr>
          <w:p w14:paraId="16A537A9" w14:textId="77777777" w:rsidR="00E049BA" w:rsidRDefault="002C06ED">
            <w:pPr>
              <w:spacing w:beforeAutospacing="1" w:afterAutospacing="1"/>
              <w:jc w:val="right"/>
            </w:pPr>
            <w:r>
              <w:rPr>
                <w:b/>
                <w:color w:val="000000"/>
              </w:rPr>
              <w:t>0</w:t>
            </w:r>
          </w:p>
        </w:tc>
      </w:tr>
    </w:tbl>
    <w:p w14:paraId="68830AAE"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Number of Households Served</w:t>
      </w:r>
    </w:p>
    <w:p w14:paraId="063DA349" w14:textId="77777777" w:rsidR="00E049BA" w:rsidRDefault="00E049BA">
      <w:pPr>
        <w:widowControl w:val="0"/>
        <w:spacing w:line="204" w:lineRule="auto"/>
        <w:rPr>
          <w:b/>
          <w:sz w:val="24"/>
          <w:szCs w:val="24"/>
        </w:rPr>
      </w:pPr>
    </w:p>
    <w:p w14:paraId="05ADD47B" w14:textId="77777777" w:rsidR="00E049BA" w:rsidRDefault="00E049BA">
      <w:pPr>
        <w:widowControl w:val="0"/>
        <w:spacing w:line="204" w:lineRule="auto"/>
        <w:rPr>
          <w:b/>
          <w:sz w:val="24"/>
          <w:szCs w:val="24"/>
        </w:rPr>
      </w:pPr>
    </w:p>
    <w:p w14:paraId="78BD258F" w14:textId="77777777" w:rsidR="00E049BA" w:rsidRDefault="002C06ED">
      <w:pPr>
        <w:widowControl w:val="0"/>
        <w:spacing w:line="204" w:lineRule="auto"/>
        <w:rPr>
          <w:b/>
          <w:sz w:val="24"/>
          <w:szCs w:val="24"/>
        </w:rPr>
      </w:pPr>
      <w:r>
        <w:rPr>
          <w:b/>
          <w:sz w:val="24"/>
          <w:szCs w:val="24"/>
        </w:rPr>
        <w:t>Narrative Information</w:t>
      </w:r>
    </w:p>
    <w:p w14:paraId="0B56C59B" w14:textId="77777777" w:rsidR="00E049BA" w:rsidRDefault="002C06ED">
      <w:pPr>
        <w:spacing w:beforeAutospacing="1" w:afterAutospacing="1"/>
        <w:rPr>
          <w:rFonts w:cs="Arial"/>
        </w:rPr>
      </w:pPr>
      <w:proofErr w:type="gramStart"/>
      <w:r>
        <w:rPr>
          <w:rFonts w:cs="Arial"/>
        </w:rPr>
        <w:t>In order to</w:t>
      </w:r>
      <w:proofErr w:type="gramEnd"/>
      <w:r>
        <w:rPr>
          <w:rFonts w:cs="Arial"/>
        </w:rPr>
        <w:t xml:space="preserve"> foster and maintain affordable housing, and to preserve the existing housing stock, the </w:t>
      </w:r>
      <w:proofErr w:type="gramStart"/>
      <w:r>
        <w:rPr>
          <w:rFonts w:cs="Arial"/>
        </w:rPr>
        <w:t>City</w:t>
      </w:r>
      <w:proofErr w:type="gramEnd"/>
      <w:r>
        <w:rPr>
          <w:rFonts w:cs="Arial"/>
        </w:rPr>
        <w:t xml:space="preserve"> continued to offer a low-interest-loan housing rehabilitation program </w:t>
      </w:r>
      <w:proofErr w:type="spellStart"/>
      <w:r>
        <w:rPr>
          <w:rFonts w:cs="Arial"/>
        </w:rPr>
        <w:t>to</w:t>
      </w:r>
      <w:proofErr w:type="spellEnd"/>
      <w:r>
        <w:rPr>
          <w:rFonts w:cs="Arial"/>
        </w:rPr>
        <w:t xml:space="preserve"> low to moderate income homeowners in Cranston. This program is designed to help income eligible homeowners keep and maintain their homes. During program year 2024, this program resulted in the rehabilitation of 10 units, requiring a total disbursement of $194,883.47 in CDBG funds for program year 2024 rehabilitation costs. Rehabilitation admin</w:t>
      </w:r>
      <w:r>
        <w:rPr>
          <w:rFonts w:cs="Arial"/>
        </w:rPr>
        <w:t>istration disbursements in program year 2024 were an additional $161,043.08. As a result, the total disbursements for housing rehabilitation activities during program year 2024 is $355,926.55.</w:t>
      </w:r>
    </w:p>
    <w:p w14:paraId="1AE77918" w14:textId="77777777" w:rsidR="00E049BA" w:rsidRDefault="002C06ED">
      <w:pPr>
        <w:spacing w:beforeAutospacing="1" w:afterAutospacing="1"/>
        <w:rPr>
          <w:rFonts w:cs="Arial"/>
        </w:rPr>
      </w:pPr>
      <w:r>
        <w:rPr>
          <w:rFonts w:cs="Arial"/>
        </w:rPr>
        <w:t xml:space="preserve">Five (5) </w:t>
      </w:r>
      <w:proofErr w:type="gramStart"/>
      <w:r>
        <w:rPr>
          <w:rFonts w:cs="Arial"/>
        </w:rPr>
        <w:t>renter</w:t>
      </w:r>
      <w:proofErr w:type="gramEnd"/>
      <w:r>
        <w:rPr>
          <w:rFonts w:cs="Arial"/>
        </w:rPr>
        <w:t xml:space="preserve"> households also had rental assistance during program year 2024, for a total disbursement of $5,000.</w:t>
      </w:r>
    </w:p>
    <w:p w14:paraId="3D1D4085" w14:textId="77777777" w:rsidR="00E049BA" w:rsidRDefault="002C06ED">
      <w:pPr>
        <w:spacing w:beforeAutospacing="1" w:afterAutospacing="1"/>
        <w:rPr>
          <w:rFonts w:cs="Arial"/>
        </w:rPr>
      </w:pPr>
      <w:r>
        <w:rPr>
          <w:rFonts w:cs="Arial"/>
        </w:rPr>
        <w:t>For the owner-occupied housing rehab program, 1 was very low income, 4 were low income, and 5 were moderate income, for a total of 10. For the rental assistance program all 5 were low income.</w:t>
      </w:r>
    </w:p>
    <w:p w14:paraId="26410E00" w14:textId="77777777" w:rsidR="00E049BA" w:rsidRDefault="002C06ED">
      <w:pPr>
        <w:spacing w:beforeAutospacing="1" w:afterAutospacing="1"/>
        <w:rPr>
          <w:rFonts w:cs="Arial"/>
        </w:rPr>
      </w:pPr>
      <w:r>
        <w:rPr>
          <w:rFonts w:cs="Arial"/>
        </w:rPr>
        <w:t xml:space="preserve">To </w:t>
      </w:r>
      <w:proofErr w:type="gramStart"/>
      <w:r>
        <w:rPr>
          <w:rFonts w:cs="Arial"/>
        </w:rPr>
        <w:t>encourage income</w:t>
      </w:r>
      <w:proofErr w:type="gramEnd"/>
      <w:r>
        <w:rPr>
          <w:rFonts w:cs="Arial"/>
        </w:rPr>
        <w:t xml:space="preserve"> eligible first-time homebuyers to purchase a home in Cranston, the Department of Community Development again offered its Closing Cost Assistance and Down Payment Assistance programs. A maximum of $3,000 would be provided for eligible closing costs; and the Department </w:t>
      </w:r>
      <w:r>
        <w:rPr>
          <w:rFonts w:cs="Arial"/>
        </w:rPr>
        <w:lastRenderedPageBreak/>
        <w:t xml:space="preserve">would match the homebuyer’s personal down payment up to a maximum of $5,000.  Although we had inquiries, there were no participants in this program as other public agencies serving </w:t>
      </w:r>
      <w:proofErr w:type="gramStart"/>
      <w:r>
        <w:rPr>
          <w:rFonts w:cs="Arial"/>
        </w:rPr>
        <w:t>first time homebuyers</w:t>
      </w:r>
      <w:proofErr w:type="gramEnd"/>
      <w:r>
        <w:rPr>
          <w:rFonts w:cs="Arial"/>
        </w:rPr>
        <w:t xml:space="preserve"> were giving larger grant</w:t>
      </w:r>
      <w:r>
        <w:rPr>
          <w:rFonts w:cs="Arial"/>
        </w:rPr>
        <w:t>s during program year 2024.</w:t>
      </w:r>
    </w:p>
    <w:p w14:paraId="28C2EE1E" w14:textId="77777777" w:rsidR="00E049BA" w:rsidRDefault="002C06ED">
      <w:pPr>
        <w:spacing w:beforeAutospacing="1" w:afterAutospacing="1"/>
        <w:rPr>
          <w:rFonts w:cs="Arial"/>
        </w:rPr>
      </w:pPr>
      <w:r>
        <w:rPr>
          <w:rFonts w:cs="Arial"/>
        </w:rPr>
        <w:t xml:space="preserve">The City does not receive HOME funds, nor can CDBG funds be used for new construction. Affordable housing units are being planned by for-profit and non-profit developers in the renovation/conversion of a former mill complex. Additional affordable units are also proposed for a transit-oriented development in the Wellington/Elmwood area. </w:t>
      </w:r>
      <w:proofErr w:type="gramStart"/>
      <w:r>
        <w:rPr>
          <w:rFonts w:cs="Arial"/>
        </w:rPr>
        <w:t>Both of these</w:t>
      </w:r>
      <w:proofErr w:type="gramEnd"/>
      <w:r>
        <w:rPr>
          <w:rFonts w:cs="Arial"/>
        </w:rPr>
        <w:t xml:space="preserve"> projects, however, are in the early stages of discussion.</w:t>
      </w:r>
    </w:p>
    <w:p w14:paraId="5935BFC0" w14:textId="77777777" w:rsidR="00E049BA" w:rsidRDefault="00E049BA">
      <w:pPr>
        <w:rPr>
          <w:rFonts w:cs="Arial"/>
        </w:rPr>
      </w:pPr>
    </w:p>
    <w:p w14:paraId="7E0A1432" w14:textId="77777777" w:rsidR="00E049BA" w:rsidRDefault="00E049BA">
      <w:pPr>
        <w:pStyle w:val="Heading2"/>
        <w:pageBreakBefore/>
        <w:rPr>
          <w:rFonts w:ascii="Calibri" w:hAnsi="Calibri"/>
          <w:i w:val="0"/>
        </w:rPr>
        <w:sectPr w:rsidR="00E049BA">
          <w:pgSz w:w="12240" w:h="15840" w:code="1"/>
          <w:pgMar w:top="1440" w:right="1440" w:bottom="1440" w:left="1440" w:header="720" w:footer="720" w:gutter="0"/>
          <w:cols w:space="720"/>
          <w:docGrid w:linePitch="360"/>
        </w:sectPr>
      </w:pPr>
    </w:p>
    <w:bookmarkEnd w:id="1"/>
    <w:p w14:paraId="63B5AE22" w14:textId="77777777" w:rsidR="00E049BA" w:rsidRDefault="002C06ED">
      <w:pPr>
        <w:pStyle w:val="Heading2"/>
        <w:pageBreakBefore/>
        <w:widowControl w:val="0"/>
        <w:rPr>
          <w:rFonts w:ascii="Calibri" w:hAnsi="Calibri"/>
          <w:i w:val="0"/>
        </w:rPr>
      </w:pPr>
      <w:r>
        <w:rPr>
          <w:rFonts w:ascii="Calibri" w:hAnsi="Calibri"/>
          <w:i w:val="0"/>
        </w:rPr>
        <w:lastRenderedPageBreak/>
        <w:t>CR-25 - Homeless and Other Special Needs 91.220(d, e); 91.320(d, e); 91.520(c)</w:t>
      </w:r>
    </w:p>
    <w:p w14:paraId="4BE644D0" w14:textId="77777777" w:rsidR="00E049BA" w:rsidRDefault="002C06ED">
      <w:pPr>
        <w:keepNext/>
        <w:widowControl w:val="0"/>
        <w:rPr>
          <w:b/>
          <w:sz w:val="24"/>
          <w:szCs w:val="24"/>
        </w:rPr>
      </w:pPr>
      <w:r>
        <w:rPr>
          <w:b/>
          <w:sz w:val="24"/>
          <w:szCs w:val="24"/>
        </w:rPr>
        <w:t>Evaluate the jurisdiction’s progress in meeting its specific objectives for reducing and ending homelessness through:</w:t>
      </w:r>
    </w:p>
    <w:p w14:paraId="5BEAC012" w14:textId="77777777" w:rsidR="00E049BA" w:rsidRDefault="002C06ED">
      <w:pPr>
        <w:widowControl w:val="0"/>
        <w:rPr>
          <w:b/>
          <w:sz w:val="24"/>
          <w:szCs w:val="24"/>
        </w:rPr>
      </w:pPr>
      <w:r>
        <w:rPr>
          <w:b/>
          <w:sz w:val="24"/>
          <w:szCs w:val="24"/>
        </w:rPr>
        <w:t xml:space="preserve">Reaching out to homeless </w:t>
      </w:r>
      <w:proofErr w:type="gramStart"/>
      <w:r>
        <w:rPr>
          <w:b/>
          <w:sz w:val="24"/>
          <w:szCs w:val="24"/>
        </w:rPr>
        <w:t>persons</w:t>
      </w:r>
      <w:proofErr w:type="gramEnd"/>
      <w:r>
        <w:rPr>
          <w:b/>
          <w:sz w:val="24"/>
          <w:szCs w:val="24"/>
        </w:rPr>
        <w:t xml:space="preserve"> (especially unsheltered </w:t>
      </w:r>
      <w:proofErr w:type="gramStart"/>
      <w:r>
        <w:rPr>
          <w:b/>
          <w:sz w:val="24"/>
          <w:szCs w:val="24"/>
        </w:rPr>
        <w:t>persons</w:t>
      </w:r>
      <w:proofErr w:type="gramEnd"/>
      <w:r>
        <w:rPr>
          <w:b/>
          <w:sz w:val="24"/>
          <w:szCs w:val="24"/>
        </w:rPr>
        <w:t>) and assessing their individual needs</w:t>
      </w:r>
    </w:p>
    <w:p w14:paraId="57D74A94" w14:textId="77777777" w:rsidR="00E049BA" w:rsidRDefault="002C06ED">
      <w:pPr>
        <w:widowControl w:val="0"/>
        <w:spacing w:beforeAutospacing="1" w:afterAutospacing="1"/>
        <w:rPr>
          <w:rFonts w:cs="Arial"/>
        </w:rPr>
      </w:pPr>
      <w:r>
        <w:rPr>
          <w:rFonts w:cs="Arial"/>
        </w:rPr>
        <w:t xml:space="preserve">The City of Cranston is not a recipient of HOME, ESG, HOPWA or other similar funds. The City of Cranston has been addressing homelessness through a cooperative Continuum of Care effort developed by the Rhode Island Housing Resources Commission’s Office of Homelessness.  The Office of Homelessness coordinates the statewide Continuum of Care planning process, working year-round to plan and to coordinate an effective response to homelessness.  The small area of the State enables Rhode Islanders, including the </w:t>
      </w:r>
      <w:r>
        <w:rPr>
          <w:rFonts w:cs="Arial"/>
        </w:rPr>
        <w:t xml:space="preserve">homeless, to move readily between cities and towns to accomplish activities of daily living. Services tend to be </w:t>
      </w:r>
      <w:proofErr w:type="gramStart"/>
      <w:r>
        <w:rPr>
          <w:rFonts w:cs="Arial"/>
        </w:rPr>
        <w:t>centralized</w:t>
      </w:r>
      <w:proofErr w:type="gramEnd"/>
      <w:r>
        <w:rPr>
          <w:rFonts w:cs="Arial"/>
        </w:rPr>
        <w:t xml:space="preserve"> and most agencies have statewide or regional service delivery areas.  Due to the unique geography and close relationship among service providers in Rhode Island, the Office of Homelessness and other community providers continue to promote a coordinated statewide Continuum of Care as the best system for addressing homelessness in the state.  The Continuum of Care strategy is an outgrow</w:t>
      </w:r>
      <w:r>
        <w:rPr>
          <w:rFonts w:cs="Arial"/>
        </w:rPr>
        <w:t>th of initiatives that has been underway through statewide planning and funding entities such as the Rhode Island Housing Resources Commission, Rhode Island Housing, and the United Way since the early 1990’s.  The priorities and goals continue to be refined each year through the Office of Homelessness as well as through meetings of the shelter and housing provider’s network and the Rhode Island Coalition for Homeless.</w:t>
      </w:r>
    </w:p>
    <w:p w14:paraId="7954FA03" w14:textId="77777777" w:rsidR="00E049BA" w:rsidRDefault="002C06ED">
      <w:pPr>
        <w:widowControl w:val="0"/>
        <w:rPr>
          <w:b/>
          <w:sz w:val="24"/>
          <w:szCs w:val="24"/>
        </w:rPr>
      </w:pPr>
      <w:r>
        <w:rPr>
          <w:b/>
          <w:sz w:val="24"/>
          <w:szCs w:val="24"/>
        </w:rPr>
        <w:t xml:space="preserve">Addressing the emergency shelter and transitional housing needs of homeless </w:t>
      </w:r>
      <w:proofErr w:type="gramStart"/>
      <w:r>
        <w:rPr>
          <w:b/>
          <w:sz w:val="24"/>
          <w:szCs w:val="24"/>
        </w:rPr>
        <w:t>persons</w:t>
      </w:r>
      <w:proofErr w:type="gramEnd"/>
    </w:p>
    <w:p w14:paraId="4C0834A8" w14:textId="77777777" w:rsidR="00E049BA" w:rsidRDefault="002C06ED">
      <w:pPr>
        <w:widowControl w:val="0"/>
        <w:spacing w:beforeAutospacing="1" w:afterAutospacing="1"/>
        <w:rPr>
          <w:rFonts w:cs="Arial"/>
        </w:rPr>
      </w:pPr>
      <w:r>
        <w:rPr>
          <w:rFonts w:cs="Arial"/>
        </w:rPr>
        <w:t xml:space="preserve">The City of Cranston is not a recipient of HOME, ESG, HOPWA or other similar funds. The </w:t>
      </w:r>
      <w:proofErr w:type="gramStart"/>
      <w:r>
        <w:rPr>
          <w:rFonts w:cs="Arial"/>
        </w:rPr>
        <w:t>City</w:t>
      </w:r>
      <w:proofErr w:type="gramEnd"/>
      <w:r>
        <w:rPr>
          <w:rFonts w:cs="Arial"/>
        </w:rPr>
        <w:t xml:space="preserve"> will, however, consider providing and does </w:t>
      </w:r>
      <w:proofErr w:type="gramStart"/>
      <w:r>
        <w:rPr>
          <w:rFonts w:cs="Arial"/>
        </w:rPr>
        <w:t>provide assistance to</w:t>
      </w:r>
      <w:proofErr w:type="gramEnd"/>
      <w:r>
        <w:rPr>
          <w:rFonts w:cs="Arial"/>
        </w:rPr>
        <w:t xml:space="preserve"> social services organizations that offer such supportive services to the underserved, such as </w:t>
      </w:r>
      <w:proofErr w:type="spellStart"/>
      <w:r>
        <w:rPr>
          <w:rFonts w:cs="Arial"/>
        </w:rPr>
        <w:t>Sstarbirth</w:t>
      </w:r>
      <w:proofErr w:type="spellEnd"/>
      <w:r>
        <w:rPr>
          <w:rFonts w:cs="Arial"/>
        </w:rPr>
        <w:t>.</w:t>
      </w:r>
    </w:p>
    <w:p w14:paraId="71D8FCB3" w14:textId="77777777" w:rsidR="00E049BA" w:rsidRDefault="002C06ED">
      <w:pPr>
        <w:widowControl w:val="0"/>
        <w:spacing w:beforeAutospacing="1" w:afterAutospacing="1"/>
        <w:rPr>
          <w:rFonts w:cs="Arial"/>
        </w:rPr>
      </w:pPr>
      <w:r>
        <w:rPr>
          <w:rFonts w:cs="Arial"/>
        </w:rPr>
        <w:br/>
        <w:t>The State of Rhode Island’s plan to end homelessness in ten years, renamed ‘Opening Doors Rhode Island’, addresses the needs of Rhode Island residents in five main areas: more affordable housing, sufficient income, service and treatment alongside housing, homelessness prevention strategies, and greater political will and community involvement.</w:t>
      </w:r>
    </w:p>
    <w:p w14:paraId="2C635FE8" w14:textId="77777777" w:rsidR="00E049BA" w:rsidRDefault="002C06ED">
      <w:pPr>
        <w:widowControl w:val="0"/>
        <w:rPr>
          <w:b/>
          <w:sz w:val="24"/>
          <w:szCs w:val="24"/>
        </w:rPr>
      </w:pPr>
      <w:r>
        <w:rPr>
          <w:b/>
          <w:sz w:val="24"/>
          <w:szCs w:val="24"/>
        </w:rPr>
        <w:t xml:space="preserve">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 and corrections programs and institutions);  and,  receiving assistance from public or private agencies that </w:t>
      </w:r>
      <w:r>
        <w:rPr>
          <w:b/>
          <w:sz w:val="24"/>
          <w:szCs w:val="24"/>
        </w:rPr>
        <w:lastRenderedPageBreak/>
        <w:t>address housing, health, social services, employment, education, or youth needs</w:t>
      </w:r>
    </w:p>
    <w:p w14:paraId="7B630AF0" w14:textId="77777777" w:rsidR="00E049BA" w:rsidRDefault="002C06ED">
      <w:pPr>
        <w:widowControl w:val="0"/>
        <w:spacing w:beforeAutospacing="1" w:afterAutospacing="1"/>
        <w:rPr>
          <w:rFonts w:cs="Arial"/>
        </w:rPr>
      </w:pPr>
      <w:r>
        <w:rPr>
          <w:rFonts w:cs="Arial"/>
        </w:rPr>
        <w:t>The City of Cranston is not a recipient of HOME, ESG, HOPWA or other similar funds. Much direct work is done through the State’s Continuum of Care.</w:t>
      </w:r>
    </w:p>
    <w:p w14:paraId="21A79A37" w14:textId="77777777" w:rsidR="00E049BA" w:rsidRDefault="002C06ED">
      <w:pPr>
        <w:widowControl w:val="0"/>
        <w:spacing w:beforeAutospacing="1" w:afterAutospacing="1"/>
        <w:rPr>
          <w:rFonts w:cs="Arial"/>
        </w:rPr>
      </w:pPr>
      <w:r>
        <w:rPr>
          <w:rFonts w:cs="Arial"/>
        </w:rPr>
        <w:t>The SSTARBIRTH program, with the support of CDBG funding this fiscal year, provides housing and supportive services to approximately 20 families, all of whom will be Cranston residents while they are at SSTARBIRTH. SSTARBIRTH is the only residential substance abuse treatment program in the State of Rhode Island specifically designed for pregnant and postpartum women and their children. The program allows for 6 to 9 months of treatment in a home environment with a capacity for 14 women and 26 children. By pr</w:t>
      </w:r>
      <w:r>
        <w:rPr>
          <w:rFonts w:cs="Arial"/>
        </w:rPr>
        <w:t>oviding treatment in a safe and caring environment, SSTARBIRTH allows clients to strengthen their health, find recovery, and nurture their children.</w:t>
      </w:r>
    </w:p>
    <w:p w14:paraId="35D401BA" w14:textId="77777777" w:rsidR="00E049BA" w:rsidRDefault="002C06ED">
      <w:pPr>
        <w:widowControl w:val="0"/>
        <w:spacing w:beforeAutospacing="1" w:afterAutospacing="1"/>
        <w:rPr>
          <w:rFonts w:cs="Arial"/>
        </w:rPr>
      </w:pPr>
      <w:r>
        <w:rPr>
          <w:rFonts w:cs="Arial"/>
        </w:rPr>
        <w:t>1. CCAP’s NOH (New Opportunity Homes) Program operates the Bradford House in Cranston, which is a pregnancy and parenting residential family home with 24/7 supervision and counseling.</w:t>
      </w:r>
      <w:r>
        <w:rPr>
          <w:rFonts w:cs="Arial"/>
        </w:rPr>
        <w:br/>
        <w:t>2. The Cranston Housing Authority offers homeless people a place on the HCV (Section 8) housing list.</w:t>
      </w:r>
    </w:p>
    <w:p w14:paraId="21531CEE" w14:textId="77777777" w:rsidR="00E049BA" w:rsidRDefault="002C06ED">
      <w:pPr>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0C89A092" w14:textId="77777777" w:rsidR="00E049BA" w:rsidRDefault="002C06ED">
      <w:pPr>
        <w:widowControl w:val="0"/>
        <w:spacing w:beforeAutospacing="1" w:afterAutospacing="1"/>
        <w:rPr>
          <w:rFonts w:cs="Arial"/>
        </w:rPr>
      </w:pPr>
      <w:r>
        <w:rPr>
          <w:rFonts w:cs="Arial"/>
        </w:rPr>
        <w:t>Again, much direct work is done through the State’s CoC. The City of Cranston, however, does attempt to make housing affordable via its housing rehab and homebuyers’ assistance programs.</w:t>
      </w:r>
    </w:p>
    <w:p w14:paraId="16E1A6CE" w14:textId="77777777" w:rsidR="00E049BA" w:rsidRDefault="002C06ED">
      <w:pPr>
        <w:widowControl w:val="0"/>
        <w:spacing w:beforeAutospacing="1" w:afterAutospacing="1"/>
        <w:rPr>
          <w:rFonts w:cs="Arial"/>
        </w:rPr>
      </w:pPr>
      <w:r>
        <w:rPr>
          <w:rFonts w:cs="Arial"/>
        </w:rPr>
        <w:t xml:space="preserve">The Rhode Island Department of Corrections has a discharge planning service for inmates within six months of being discharged. In conjunction with agencies working associated with the department, such as the Northern RI Community Mental Health Center or </w:t>
      </w:r>
      <w:proofErr w:type="spellStart"/>
      <w:r>
        <w:rPr>
          <w:rFonts w:cs="Arial"/>
        </w:rPr>
        <w:t>OpenDoors</w:t>
      </w:r>
      <w:proofErr w:type="spellEnd"/>
      <w:r>
        <w:rPr>
          <w:rFonts w:cs="Arial"/>
        </w:rPr>
        <w:t xml:space="preserve">, programs help minimum security male and female inmates make the transition back to home and community. </w:t>
      </w:r>
      <w:proofErr w:type="spellStart"/>
      <w:r>
        <w:rPr>
          <w:rFonts w:cs="Arial"/>
        </w:rPr>
        <w:t>OpenDoors</w:t>
      </w:r>
      <w:proofErr w:type="spellEnd"/>
      <w:r>
        <w:rPr>
          <w:rFonts w:cs="Arial"/>
        </w:rPr>
        <w:t xml:space="preserve"> is contracted through the Rhode Island Department of Corrections to provide discharge plans to inmates in the Men’s </w:t>
      </w:r>
      <w:proofErr w:type="gramStart"/>
      <w:r>
        <w:rPr>
          <w:rFonts w:cs="Arial"/>
        </w:rPr>
        <w:t>Minimum Security</w:t>
      </w:r>
      <w:proofErr w:type="gramEnd"/>
      <w:r>
        <w:rPr>
          <w:rFonts w:cs="Arial"/>
        </w:rPr>
        <w:t xml:space="preserve"> Facility at the DOC in both individual and group formats </w:t>
      </w:r>
      <w:proofErr w:type="gramStart"/>
      <w:r>
        <w:rPr>
          <w:rFonts w:cs="Arial"/>
        </w:rPr>
        <w:t>in order to</w:t>
      </w:r>
      <w:proofErr w:type="gramEnd"/>
      <w:r>
        <w:rPr>
          <w:rFonts w:cs="Arial"/>
        </w:rPr>
        <w:t xml:space="preserve"> reach as many as possible of those discharged.</w:t>
      </w:r>
    </w:p>
    <w:p w14:paraId="69C8F54A" w14:textId="77777777" w:rsidR="00E049BA" w:rsidRDefault="002C06ED">
      <w:pPr>
        <w:widowControl w:val="0"/>
        <w:spacing w:beforeAutospacing="1" w:afterAutospacing="1"/>
        <w:rPr>
          <w:rFonts w:cs="Arial"/>
        </w:rPr>
      </w:pPr>
      <w:r>
        <w:rPr>
          <w:rFonts w:cs="Arial"/>
        </w:rPr>
        <w:t xml:space="preserve">The </w:t>
      </w:r>
      <w:proofErr w:type="gramStart"/>
      <w:r>
        <w:rPr>
          <w:rFonts w:cs="Arial"/>
        </w:rPr>
        <w:t>City</w:t>
      </w:r>
      <w:proofErr w:type="gramEnd"/>
      <w:r>
        <w:rPr>
          <w:rFonts w:cs="Arial"/>
        </w:rPr>
        <w:t xml:space="preserve"> does provide funding for health and behavioral services administered by CCAP, which also operates a GED center for youths and adults so they may obtain the education and skills for better employment.</w:t>
      </w:r>
    </w:p>
    <w:p w14:paraId="5D770A86" w14:textId="77777777" w:rsidR="00E049BA" w:rsidRDefault="00E049BA">
      <w:pPr>
        <w:widowControl w:val="0"/>
        <w:rPr>
          <w:rFonts w:cs="Arial"/>
          <w:szCs w:val="26"/>
        </w:rPr>
      </w:pPr>
    </w:p>
    <w:p w14:paraId="3ADB8D13" w14:textId="77777777" w:rsidR="00E049BA" w:rsidRDefault="002C06ED">
      <w:pPr>
        <w:pStyle w:val="Heading2"/>
        <w:pageBreakBefore/>
        <w:widowControl w:val="0"/>
        <w:rPr>
          <w:rFonts w:ascii="Calibri" w:hAnsi="Calibri"/>
          <w:i w:val="0"/>
        </w:rPr>
      </w:pPr>
      <w:r>
        <w:rPr>
          <w:rFonts w:ascii="Calibri" w:hAnsi="Calibri"/>
          <w:i w:val="0"/>
        </w:rPr>
        <w:lastRenderedPageBreak/>
        <w:t>CR-30 - Public Housing 91.220(h); 91.320(j)</w:t>
      </w:r>
    </w:p>
    <w:p w14:paraId="13BFD5F1" w14:textId="77777777" w:rsidR="00E049BA" w:rsidRDefault="002C06ED">
      <w:pPr>
        <w:keepNext/>
        <w:widowControl w:val="0"/>
        <w:rPr>
          <w:b/>
          <w:sz w:val="24"/>
          <w:szCs w:val="24"/>
        </w:rPr>
      </w:pPr>
      <w:r>
        <w:rPr>
          <w:b/>
          <w:sz w:val="24"/>
          <w:szCs w:val="24"/>
        </w:rPr>
        <w:t>Actions taken to address the needs of public housing</w:t>
      </w:r>
    </w:p>
    <w:p w14:paraId="417F2F54" w14:textId="77777777" w:rsidR="00E049BA" w:rsidRDefault="002C06ED">
      <w:pPr>
        <w:keepNext/>
        <w:widowControl w:val="0"/>
        <w:spacing w:beforeAutospacing="1" w:afterAutospacing="1"/>
        <w:rPr>
          <w:rFonts w:cs="Arial"/>
        </w:rPr>
      </w:pPr>
      <w:r>
        <w:rPr>
          <w:rFonts w:cs="Arial"/>
        </w:rPr>
        <w:t>The Cranston Housing Authority continues to address annually the maintenance needs of its senior manners and scattered houses, and to upgrade the facilities.</w:t>
      </w:r>
    </w:p>
    <w:p w14:paraId="47478CDF" w14:textId="77777777" w:rsidR="00E049BA" w:rsidRDefault="002C06ED">
      <w:pPr>
        <w:widowControl w:val="0"/>
        <w:rPr>
          <w:b/>
          <w:sz w:val="24"/>
          <w:szCs w:val="24"/>
        </w:rPr>
      </w:pPr>
      <w:r>
        <w:rPr>
          <w:b/>
          <w:sz w:val="24"/>
          <w:szCs w:val="24"/>
        </w:rPr>
        <w:t>Actions taken to encourage public housing residents to become more involved in management and participate in homeownership</w:t>
      </w:r>
    </w:p>
    <w:p w14:paraId="1EF41B4F" w14:textId="77777777" w:rsidR="00E049BA" w:rsidRDefault="002C06ED">
      <w:pPr>
        <w:widowControl w:val="0"/>
        <w:spacing w:beforeAutospacing="1" w:afterAutospacing="1"/>
        <w:rPr>
          <w:rFonts w:cs="Arial"/>
        </w:rPr>
      </w:pPr>
      <w:r>
        <w:rPr>
          <w:rFonts w:cs="Arial"/>
        </w:rPr>
        <w:t xml:space="preserve">The Cranston Housing Authority has no vehicle, other than participation in public meetings, to encourage residents of public housing to become involved in the management of the Authority-owned property, nor is it involved in any activities for the homeless. It does, however, offer homeless people a place on </w:t>
      </w:r>
      <w:proofErr w:type="gramStart"/>
      <w:r>
        <w:rPr>
          <w:rFonts w:cs="Arial"/>
        </w:rPr>
        <w:t>the Section</w:t>
      </w:r>
      <w:proofErr w:type="gramEnd"/>
      <w:r>
        <w:rPr>
          <w:rFonts w:cs="Arial"/>
        </w:rPr>
        <w:t xml:space="preserve"> 8 housing list. The Authority does contract with a Resident Services Coordinator to coordinate supportive services for the elderly, frail, and disabled.  </w:t>
      </w:r>
    </w:p>
    <w:p w14:paraId="15C86671" w14:textId="77777777" w:rsidR="00E049BA" w:rsidRDefault="002C06ED">
      <w:pPr>
        <w:widowControl w:val="0"/>
        <w:rPr>
          <w:b/>
          <w:sz w:val="24"/>
          <w:szCs w:val="24"/>
        </w:rPr>
      </w:pPr>
      <w:r>
        <w:rPr>
          <w:b/>
          <w:sz w:val="24"/>
          <w:szCs w:val="24"/>
        </w:rPr>
        <w:t xml:space="preserve">Actions taken to </w:t>
      </w:r>
      <w:proofErr w:type="gramStart"/>
      <w:r>
        <w:rPr>
          <w:b/>
          <w:sz w:val="24"/>
          <w:szCs w:val="24"/>
        </w:rPr>
        <w:t>provide assistance to</w:t>
      </w:r>
      <w:proofErr w:type="gramEnd"/>
      <w:r>
        <w:rPr>
          <w:b/>
          <w:sz w:val="24"/>
          <w:szCs w:val="24"/>
        </w:rPr>
        <w:t xml:space="preserve"> troubled PHAs</w:t>
      </w:r>
    </w:p>
    <w:p w14:paraId="440EAE21" w14:textId="77777777" w:rsidR="00E049BA" w:rsidRDefault="002C06ED">
      <w:pPr>
        <w:widowControl w:val="0"/>
        <w:spacing w:beforeAutospacing="1" w:afterAutospacing="1"/>
        <w:rPr>
          <w:rFonts w:cs="Arial"/>
        </w:rPr>
      </w:pPr>
      <w:r>
        <w:rPr>
          <w:rFonts w:cs="Arial"/>
        </w:rPr>
        <w:t xml:space="preserve">No action was needed, </w:t>
      </w:r>
      <w:proofErr w:type="gramStart"/>
      <w:r>
        <w:rPr>
          <w:rFonts w:cs="Arial"/>
        </w:rPr>
        <w:t>for</w:t>
      </w:r>
      <w:proofErr w:type="gramEnd"/>
      <w:r>
        <w:rPr>
          <w:rFonts w:cs="Arial"/>
        </w:rPr>
        <w:t xml:space="preserve"> the Cranston Housing Authority is not designated as 'troubled'.</w:t>
      </w:r>
    </w:p>
    <w:p w14:paraId="023B00DB" w14:textId="77777777" w:rsidR="00E049BA" w:rsidRDefault="002C06ED">
      <w:pPr>
        <w:pStyle w:val="Heading2"/>
        <w:pageBreakBefore/>
        <w:widowControl w:val="0"/>
        <w:rPr>
          <w:rFonts w:ascii="Calibri" w:hAnsi="Calibri"/>
          <w:i w:val="0"/>
        </w:rPr>
      </w:pPr>
      <w:r>
        <w:rPr>
          <w:rFonts w:ascii="Calibri" w:hAnsi="Calibri"/>
          <w:i w:val="0"/>
        </w:rPr>
        <w:lastRenderedPageBreak/>
        <w:t>CR-35 - Other Actions 91.220(j)-(k); 91.320(</w:t>
      </w:r>
      <w:proofErr w:type="spellStart"/>
      <w:r>
        <w:rPr>
          <w:rFonts w:ascii="Calibri" w:hAnsi="Calibri"/>
          <w:i w:val="0"/>
        </w:rPr>
        <w:t>i</w:t>
      </w:r>
      <w:proofErr w:type="spellEnd"/>
      <w:r>
        <w:rPr>
          <w:rFonts w:ascii="Calibri" w:hAnsi="Calibri"/>
          <w:i w:val="0"/>
        </w:rPr>
        <w:t>)-(j)</w:t>
      </w:r>
    </w:p>
    <w:p w14:paraId="2C9C955F" w14:textId="77777777" w:rsidR="00E049BA" w:rsidRDefault="002C06ED">
      <w:pPr>
        <w:widowControl w:val="0"/>
        <w:rPr>
          <w:b/>
          <w:sz w:val="24"/>
          <w:szCs w:val="24"/>
        </w:rPr>
      </w:pPr>
      <w:r>
        <w:rPr>
          <w:b/>
          <w:sz w:val="24"/>
          <w:szCs w:val="24"/>
        </w:rPr>
        <w:t>Actions taken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 91.220 (j); 91.320 (</w:t>
      </w:r>
      <w:proofErr w:type="spellStart"/>
      <w:r>
        <w:rPr>
          <w:b/>
          <w:sz w:val="24"/>
          <w:szCs w:val="24"/>
        </w:rPr>
        <w:t>i</w:t>
      </w:r>
      <w:proofErr w:type="spellEnd"/>
      <w:r>
        <w:rPr>
          <w:b/>
          <w:sz w:val="24"/>
          <w:szCs w:val="24"/>
        </w:rPr>
        <w:t>)</w:t>
      </w:r>
    </w:p>
    <w:p w14:paraId="0E1B1FC1" w14:textId="77777777" w:rsidR="00E049BA" w:rsidRDefault="00E049BA">
      <w:pPr>
        <w:widowControl w:val="0"/>
        <w:rPr>
          <w:rFonts w:cs="Arial"/>
        </w:rPr>
      </w:pPr>
    </w:p>
    <w:p w14:paraId="419DE91C" w14:textId="77777777" w:rsidR="00E049BA" w:rsidRDefault="002C06ED">
      <w:pPr>
        <w:widowControl w:val="0"/>
        <w:rPr>
          <w:b/>
          <w:sz w:val="24"/>
          <w:szCs w:val="24"/>
        </w:rPr>
      </w:pPr>
      <w:r>
        <w:rPr>
          <w:b/>
          <w:sz w:val="24"/>
          <w:szCs w:val="24"/>
        </w:rPr>
        <w:t>Actions taken to address obstacles to meeting underserved needs.  91.220(k); 91.320(j)</w:t>
      </w:r>
    </w:p>
    <w:p w14:paraId="6204A146" w14:textId="77777777" w:rsidR="00E049BA" w:rsidRDefault="002C06ED">
      <w:pPr>
        <w:widowControl w:val="0"/>
        <w:spacing w:beforeAutospacing="1" w:afterAutospacing="1"/>
        <w:rPr>
          <w:rFonts w:cs="Arial"/>
        </w:rPr>
      </w:pPr>
      <w:r>
        <w:rPr>
          <w:rFonts w:cs="Arial"/>
        </w:rPr>
        <w:t>The greatest obstacle to meeting underserved needs is the limited availability of funds. Given the approximately one million dollars of CDBG funds available to Cranston annually, the City believed that the best way to conform to the objectives of promoting a suitable living environment, providing decent housing, and economic development, primarily for low to moderate income beneficiaries is via its housing rehabilitation and homebuyers’ assistance programs; subsidizing public services for health and wellnes</w:t>
      </w:r>
      <w:r>
        <w:rPr>
          <w:rFonts w:cs="Arial"/>
        </w:rPr>
        <w:t>s, especially in Medically Underserved Areas; subsidizing a neighborhood food bank located in and next to a high percentage low/mod area, youth services, a day care for the elderly/disabled and one for those suffering from dementia and Alzheimer’s disease; funding a heating assistance program; subsidizing programs for battered and abused spouses and children; and funding public facilities such as street improvements, and the rehabilitation not only of a day care facility for those suffering from Alzheimer’s</w:t>
      </w:r>
      <w:r>
        <w:rPr>
          <w:rFonts w:cs="Arial"/>
        </w:rPr>
        <w:t xml:space="preserve"> disease and dementia, but also of a day care facility for the elderly and disabled.</w:t>
      </w:r>
    </w:p>
    <w:p w14:paraId="66ABECEB" w14:textId="77777777" w:rsidR="00E049BA" w:rsidRDefault="002C06ED">
      <w:pPr>
        <w:widowControl w:val="0"/>
        <w:rPr>
          <w:b/>
          <w:sz w:val="24"/>
          <w:szCs w:val="24"/>
        </w:rPr>
      </w:pPr>
      <w:r>
        <w:rPr>
          <w:b/>
          <w:sz w:val="24"/>
          <w:szCs w:val="24"/>
        </w:rPr>
        <w:t>Actions taken to reduce lead-based paint hazards. 91.220(k); 91.320(j)</w:t>
      </w:r>
    </w:p>
    <w:p w14:paraId="6CACE230" w14:textId="77777777" w:rsidR="00E049BA" w:rsidRDefault="002C06ED">
      <w:pPr>
        <w:widowControl w:val="0"/>
        <w:spacing w:beforeAutospacing="1" w:afterAutospacing="1"/>
        <w:rPr>
          <w:rFonts w:cs="Arial"/>
        </w:rPr>
      </w:pPr>
      <w:r>
        <w:rPr>
          <w:rFonts w:cs="Arial"/>
        </w:rPr>
        <w:t>The City conforms to the Lead Safe Rule as part of the Housing Rehabilitation program and the Homebuyers’ Assistance program. For each project, a lead clearance certificate is required. Also, a lead clearance certificate is required for any house acquired, rehabilitated, and subsequently sold to an income eligible household.</w:t>
      </w:r>
    </w:p>
    <w:p w14:paraId="3F6E3E14" w14:textId="77777777" w:rsidR="00E049BA" w:rsidRDefault="002C06ED">
      <w:pPr>
        <w:widowControl w:val="0"/>
        <w:spacing w:beforeAutospacing="1" w:afterAutospacing="1"/>
        <w:rPr>
          <w:rFonts w:cs="Arial"/>
        </w:rPr>
      </w:pPr>
      <w:r>
        <w:rPr>
          <w:rFonts w:cs="Arial"/>
        </w:rPr>
        <w:br/>
        <w:t>The State of Rhode Island requires testing for lead for children enrolling in elementary schools, and subsequent actions and treatments.</w:t>
      </w:r>
    </w:p>
    <w:p w14:paraId="03505BD0" w14:textId="77777777" w:rsidR="00E049BA" w:rsidRDefault="002C06ED">
      <w:pPr>
        <w:widowControl w:val="0"/>
        <w:rPr>
          <w:b/>
          <w:sz w:val="24"/>
          <w:szCs w:val="24"/>
        </w:rPr>
      </w:pPr>
      <w:r>
        <w:rPr>
          <w:b/>
          <w:sz w:val="24"/>
          <w:szCs w:val="24"/>
        </w:rPr>
        <w:t>Actions taken to reduce the number of poverty-level families. 91.220(k); 91.320(j)</w:t>
      </w:r>
    </w:p>
    <w:p w14:paraId="3CDEE62C" w14:textId="77777777" w:rsidR="00E049BA" w:rsidRDefault="002C06ED">
      <w:pPr>
        <w:widowControl w:val="0"/>
        <w:spacing w:beforeAutospacing="1" w:afterAutospacing="1"/>
        <w:rPr>
          <w:rFonts w:cs="Arial"/>
        </w:rPr>
      </w:pPr>
      <w:r>
        <w:rPr>
          <w:rFonts w:cs="Arial"/>
        </w:rPr>
        <w:t xml:space="preserve">Education and job training are instrumental in helping reduce the number of poverty-level families. </w:t>
      </w:r>
      <w:proofErr w:type="spellStart"/>
      <w:r>
        <w:rPr>
          <w:rFonts w:cs="Arial"/>
        </w:rPr>
        <w:t>NetworkRI</w:t>
      </w:r>
      <w:proofErr w:type="spellEnd"/>
      <w:r>
        <w:rPr>
          <w:rFonts w:cs="Arial"/>
        </w:rPr>
        <w:t xml:space="preserve">, part of the Workforce Investment Act, serves the entire state. </w:t>
      </w:r>
      <w:proofErr w:type="spellStart"/>
      <w:r>
        <w:rPr>
          <w:rFonts w:cs="Arial"/>
        </w:rPr>
        <w:t>WorkForce</w:t>
      </w:r>
      <w:proofErr w:type="spellEnd"/>
      <w:r>
        <w:rPr>
          <w:rFonts w:cs="Arial"/>
        </w:rPr>
        <w:t xml:space="preserve"> Solutions has a facility staffed by Providence and Cranston employees in the Providence office. This agency offers services such as, but not limited to, workshops, training programs, and apprenticeships. Their programs deliver services to adults, displaced workers, and youths.</w:t>
      </w:r>
    </w:p>
    <w:p w14:paraId="4E30F4E3" w14:textId="77777777" w:rsidR="00E049BA" w:rsidRDefault="002C06ED">
      <w:pPr>
        <w:widowControl w:val="0"/>
        <w:spacing w:beforeAutospacing="1" w:afterAutospacing="1"/>
        <w:rPr>
          <w:rFonts w:cs="Arial"/>
        </w:rPr>
      </w:pPr>
      <w:r>
        <w:rPr>
          <w:rFonts w:cs="Arial"/>
        </w:rPr>
        <w:t> CCAP’s Skills Center offers GED classes and work readiness training for youths and adults.</w:t>
      </w:r>
    </w:p>
    <w:p w14:paraId="472F7D35" w14:textId="77777777" w:rsidR="00E049BA" w:rsidRDefault="002C06ED">
      <w:pPr>
        <w:widowControl w:val="0"/>
        <w:spacing w:beforeAutospacing="1" w:afterAutospacing="1"/>
        <w:rPr>
          <w:rFonts w:cs="Arial"/>
        </w:rPr>
      </w:pPr>
      <w:r>
        <w:rPr>
          <w:rFonts w:cs="Arial"/>
        </w:rPr>
        <w:lastRenderedPageBreak/>
        <w:t>The City’s housing rehabilitation program offered low interest loans to eligible households, to maintain and preserve the housing stock. For those under 50% of the median income, the loans were 0% deferred, thus enabling the rehab to be done at no cost to the owner-occupant.</w:t>
      </w:r>
    </w:p>
    <w:p w14:paraId="03E344CE" w14:textId="77777777" w:rsidR="00E049BA" w:rsidRDefault="002C06ED">
      <w:pPr>
        <w:widowControl w:val="0"/>
        <w:spacing w:beforeAutospacing="1" w:afterAutospacing="1"/>
        <w:rPr>
          <w:rFonts w:cs="Arial"/>
        </w:rPr>
      </w:pPr>
      <w:r>
        <w:rPr>
          <w:rFonts w:cs="Arial"/>
        </w:rPr>
        <w:t xml:space="preserve">The City’s </w:t>
      </w:r>
      <w:proofErr w:type="gramStart"/>
      <w:r>
        <w:rPr>
          <w:rFonts w:cs="Arial"/>
        </w:rPr>
        <w:t>first time</w:t>
      </w:r>
      <w:proofErr w:type="gramEnd"/>
      <w:r>
        <w:rPr>
          <w:rFonts w:cs="Arial"/>
        </w:rPr>
        <w:t xml:space="preserve"> homebuyers’ program provides funding for closing costs assistance and down payment assistance for low/moderate income households purchasing a house in Cranston.</w:t>
      </w:r>
    </w:p>
    <w:p w14:paraId="40D3518D" w14:textId="77777777" w:rsidR="00E049BA" w:rsidRDefault="002C06ED">
      <w:pPr>
        <w:widowControl w:val="0"/>
        <w:rPr>
          <w:b/>
          <w:sz w:val="24"/>
          <w:szCs w:val="24"/>
        </w:rPr>
      </w:pPr>
      <w:r>
        <w:rPr>
          <w:b/>
          <w:sz w:val="24"/>
          <w:szCs w:val="24"/>
        </w:rPr>
        <w:t>Actions taken to develop institutional structure. 91.220(k); 91.320(j)</w:t>
      </w:r>
    </w:p>
    <w:p w14:paraId="05EC6957" w14:textId="77777777" w:rsidR="00E049BA" w:rsidRDefault="002C06ED">
      <w:pPr>
        <w:widowControl w:val="0"/>
        <w:spacing w:beforeAutospacing="1" w:afterAutospacing="1"/>
        <w:rPr>
          <w:rFonts w:cs="Arial"/>
        </w:rPr>
      </w:pPr>
      <w:r>
        <w:rPr>
          <w:rFonts w:cs="Arial"/>
        </w:rPr>
        <w:t xml:space="preserve">There are organizations - whether public, private, non-profit, or local government - which provide the services necessary to carry out our consolidated plan such as, but not limited to, </w:t>
      </w:r>
      <w:proofErr w:type="gramStart"/>
      <w:r>
        <w:rPr>
          <w:rFonts w:cs="Arial"/>
        </w:rPr>
        <w:t>CCAP,  Hope</w:t>
      </w:r>
      <w:proofErr w:type="gramEnd"/>
      <w:r>
        <w:rPr>
          <w:rFonts w:cs="Arial"/>
        </w:rPr>
        <w:t xml:space="preserve"> Alzheimer's Center, Cranston Senior Services, Blessed Mother Mary Food Pantry, and the programs offered by the Cranston Department of Community Development, to name a few.</w:t>
      </w:r>
    </w:p>
    <w:p w14:paraId="5991DD49" w14:textId="77777777" w:rsidR="00E049BA" w:rsidRDefault="002C06ED">
      <w:pPr>
        <w:widowControl w:val="0"/>
        <w:rPr>
          <w:b/>
          <w:sz w:val="24"/>
          <w:szCs w:val="24"/>
        </w:rPr>
      </w:pPr>
      <w:r>
        <w:rPr>
          <w:b/>
          <w:sz w:val="24"/>
          <w:szCs w:val="24"/>
        </w:rPr>
        <w:t>Actions taken to enhance coordination between public and private housing and social service agencies. 91.220(k); 91.320(j)</w:t>
      </w:r>
    </w:p>
    <w:p w14:paraId="4BE31994" w14:textId="77777777" w:rsidR="00E049BA" w:rsidRDefault="002C06ED">
      <w:pPr>
        <w:widowControl w:val="0"/>
        <w:spacing w:beforeAutospacing="1" w:afterAutospacing="1"/>
        <w:rPr>
          <w:rFonts w:cs="Arial"/>
        </w:rPr>
      </w:pPr>
      <w:r>
        <w:rPr>
          <w:rFonts w:cs="Arial"/>
        </w:rPr>
        <w:t xml:space="preserve">The many and various agencies, such as but not limited to those mentioned above, in addition to those subrecipients and </w:t>
      </w:r>
      <w:proofErr w:type="gramStart"/>
      <w:r>
        <w:rPr>
          <w:rFonts w:cs="Arial"/>
        </w:rPr>
        <w:t>projects  in</w:t>
      </w:r>
      <w:proofErr w:type="gramEnd"/>
      <w:r>
        <w:rPr>
          <w:rFonts w:cs="Arial"/>
        </w:rPr>
        <w:t xml:space="preserve"> this CAPER and programs and services offered by the </w:t>
      </w:r>
      <w:proofErr w:type="gramStart"/>
      <w:r>
        <w:rPr>
          <w:rFonts w:cs="Arial"/>
        </w:rPr>
        <w:t>State  comprise</w:t>
      </w:r>
      <w:proofErr w:type="gramEnd"/>
      <w:r>
        <w:rPr>
          <w:rFonts w:cs="Arial"/>
        </w:rPr>
        <w:t xml:space="preserve"> the institutional structure to carry out our consolidated plan.  Moreover, other organizations involved in the delivery of housing, homeless, non-homeless special needs, and community development activities include many of the agencies consulted during the Consolidated Planning process.  Their fields of interest include but are not limited to social services, youth services, elderly services, disability services, HIV/AIDS servi</w:t>
      </w:r>
      <w:r>
        <w:rPr>
          <w:rFonts w:cs="Arial"/>
        </w:rPr>
        <w:t xml:space="preserve">ces, abused children services, health services, homeless services, and domestic violence assistance. Each agency contributes valuable resources and expertise to benefit </w:t>
      </w:r>
      <w:proofErr w:type="gramStart"/>
      <w:r>
        <w:rPr>
          <w:rFonts w:cs="Arial"/>
        </w:rPr>
        <w:t>low and moderate income</w:t>
      </w:r>
      <w:proofErr w:type="gramEnd"/>
      <w:r>
        <w:rPr>
          <w:rFonts w:cs="Arial"/>
        </w:rPr>
        <w:t xml:space="preserve"> people. </w:t>
      </w:r>
    </w:p>
    <w:p w14:paraId="6259175C" w14:textId="77777777" w:rsidR="00E049BA" w:rsidRDefault="002C06ED">
      <w:pPr>
        <w:widowControl w:val="0"/>
        <w:rPr>
          <w:b/>
          <w:sz w:val="24"/>
          <w:szCs w:val="24"/>
        </w:rPr>
      </w:pPr>
      <w:r>
        <w:rPr>
          <w:b/>
          <w:sz w:val="24"/>
          <w:szCs w:val="24"/>
        </w:rPr>
        <w:t>Identify actions taken to overcome the effects of any impediments identified in the jurisdictions analysis of impediments to fair housing choice.  91.520(a)</w:t>
      </w:r>
    </w:p>
    <w:p w14:paraId="0EE20109" w14:textId="77777777" w:rsidR="00E049BA" w:rsidRDefault="002C06ED">
      <w:pPr>
        <w:widowControl w:val="0"/>
        <w:spacing w:beforeAutospacing="1" w:afterAutospacing="1"/>
        <w:rPr>
          <w:rFonts w:cs="Arial"/>
        </w:rPr>
      </w:pPr>
      <w:r>
        <w:rPr>
          <w:rFonts w:cs="Arial"/>
        </w:rPr>
        <w:t>The City of Cranston participates in the Rhode Island State's Regional Analysis of Impediments to Fair Housing, which was developed in the recognition that a statewide approach to addressing fair housing issues was preferred.</w:t>
      </w:r>
    </w:p>
    <w:p w14:paraId="0F4E7D3B" w14:textId="77777777" w:rsidR="00E049BA" w:rsidRDefault="002C06ED">
      <w:pPr>
        <w:widowControl w:val="0"/>
        <w:spacing w:beforeAutospacing="1" w:afterAutospacing="1"/>
        <w:rPr>
          <w:rFonts w:cs="Arial"/>
        </w:rPr>
      </w:pPr>
      <w:r>
        <w:rPr>
          <w:rFonts w:cs="Arial"/>
        </w:rPr>
        <w:t xml:space="preserve">There were </w:t>
      </w:r>
      <w:proofErr w:type="gramStart"/>
      <w:r>
        <w:rPr>
          <w:rFonts w:cs="Arial"/>
        </w:rPr>
        <w:t>a number of</w:t>
      </w:r>
      <w:proofErr w:type="gramEnd"/>
      <w:r>
        <w:rPr>
          <w:rFonts w:cs="Arial"/>
        </w:rPr>
        <w:t xml:space="preserve"> themes that were common among the previous independent AIs of the Entitlement Communities, such as:</w:t>
      </w:r>
    </w:p>
    <w:p w14:paraId="5126F46F" w14:textId="77777777" w:rsidR="00E049BA" w:rsidRDefault="002C06ED">
      <w:pPr>
        <w:widowControl w:val="0"/>
        <w:spacing w:beforeAutospacing="1" w:afterAutospacing="1"/>
        <w:rPr>
          <w:rFonts w:cs="Arial"/>
        </w:rPr>
      </w:pPr>
      <w:r>
        <w:rPr>
          <w:rFonts w:cs="Arial"/>
        </w:rPr>
        <w:t>- Identifying impediments more broadly than just on fair housing, especially the barriers to affordable housing in general.</w:t>
      </w:r>
    </w:p>
    <w:p w14:paraId="5E7C2269" w14:textId="77777777" w:rsidR="00E049BA" w:rsidRDefault="002C06ED">
      <w:pPr>
        <w:widowControl w:val="0"/>
        <w:spacing w:beforeAutospacing="1" w:afterAutospacing="1"/>
        <w:rPr>
          <w:rFonts w:cs="Arial"/>
        </w:rPr>
      </w:pPr>
      <w:r>
        <w:rPr>
          <w:rFonts w:cs="Arial"/>
        </w:rPr>
        <w:t xml:space="preserve">- Many of the identified impediments were beyond the authority of the participating jurisdiction to address, such as limited transportation options, insufficient state or federal resources for </w:t>
      </w:r>
      <w:proofErr w:type="gramStart"/>
      <w:r>
        <w:rPr>
          <w:rFonts w:cs="Arial"/>
        </w:rPr>
        <w:t>low income</w:t>
      </w:r>
      <w:proofErr w:type="gramEnd"/>
      <w:r>
        <w:rPr>
          <w:rFonts w:cs="Arial"/>
        </w:rPr>
        <w:t xml:space="preserve"> </w:t>
      </w:r>
      <w:r>
        <w:rPr>
          <w:rFonts w:cs="Arial"/>
        </w:rPr>
        <w:lastRenderedPageBreak/>
        <w:t>housing, or the lack of affordable housing options in suburban and rural parts of the state.</w:t>
      </w:r>
    </w:p>
    <w:p w14:paraId="5B40F90C" w14:textId="77777777" w:rsidR="00E049BA" w:rsidRDefault="002C06ED">
      <w:pPr>
        <w:widowControl w:val="0"/>
        <w:spacing w:beforeAutospacing="1" w:afterAutospacing="1"/>
        <w:rPr>
          <w:rFonts w:cs="Arial"/>
        </w:rPr>
      </w:pPr>
      <w:r>
        <w:rPr>
          <w:rFonts w:cs="Arial"/>
        </w:rPr>
        <w:t>- Other impediments were beyond the jurisdiction's resources or were better addressed statewide, such as fair housing enforcement and outreach. Regional collaboration would be more efficient.</w:t>
      </w:r>
    </w:p>
    <w:p w14:paraId="669F3891" w14:textId="77777777" w:rsidR="00E049BA" w:rsidRDefault="002C06ED">
      <w:pPr>
        <w:widowControl w:val="0"/>
        <w:spacing w:beforeAutospacing="1" w:afterAutospacing="1"/>
        <w:rPr>
          <w:rFonts w:cs="Arial"/>
        </w:rPr>
      </w:pPr>
      <w:r>
        <w:rPr>
          <w:rFonts w:cs="Arial"/>
        </w:rPr>
        <w:t>- Many of the impediments are regional issues because they impact or are present in all participating jurisdictions, thus requiring collaboration among the jurisdictions, state and federal funding agencies, fair housing       </w:t>
      </w:r>
      <w:proofErr w:type="gramStart"/>
      <w:r>
        <w:rPr>
          <w:rFonts w:cs="Arial"/>
        </w:rPr>
        <w:t>service  providers</w:t>
      </w:r>
      <w:proofErr w:type="gramEnd"/>
      <w:r>
        <w:rPr>
          <w:rFonts w:cs="Arial"/>
        </w:rPr>
        <w:t>, real estate professionals, and other state agencies.</w:t>
      </w:r>
    </w:p>
    <w:p w14:paraId="054A1282" w14:textId="77777777" w:rsidR="00E049BA" w:rsidRDefault="002C06ED">
      <w:pPr>
        <w:widowControl w:val="0"/>
        <w:spacing w:beforeAutospacing="1" w:afterAutospacing="1"/>
        <w:rPr>
          <w:rFonts w:cs="Arial"/>
        </w:rPr>
      </w:pPr>
      <w:r>
        <w:rPr>
          <w:rFonts w:cs="Arial"/>
        </w:rPr>
        <w:t>Impediments in the regional AI specifically for Cranston are Fair Housing Education, Access to affordable homes, and Access to healthy housing. </w:t>
      </w:r>
    </w:p>
    <w:p w14:paraId="05B4B410" w14:textId="77777777" w:rsidR="00E049BA" w:rsidRDefault="002C06ED">
      <w:pPr>
        <w:widowControl w:val="0"/>
        <w:spacing w:beforeAutospacing="1" w:afterAutospacing="1"/>
        <w:rPr>
          <w:rFonts w:cs="Arial"/>
        </w:rPr>
      </w:pPr>
      <w:r>
        <w:rPr>
          <w:rFonts w:cs="Arial"/>
        </w:rPr>
        <w:t xml:space="preserve">In addition to what is recommended at the State level, the City of </w:t>
      </w:r>
      <w:proofErr w:type="gramStart"/>
      <w:r>
        <w:rPr>
          <w:rFonts w:cs="Arial"/>
        </w:rPr>
        <w:t>Cranston  places</w:t>
      </w:r>
      <w:proofErr w:type="gramEnd"/>
      <w:r>
        <w:rPr>
          <w:rFonts w:cs="Arial"/>
        </w:rPr>
        <w:t xml:space="preserve"> posters provided by the National Fair Housing Alliance defining housing discriminatory practices. Posters in all languages are placed in all municipal buildings throughout the </w:t>
      </w:r>
      <w:proofErr w:type="gramStart"/>
      <w:r>
        <w:rPr>
          <w:rFonts w:cs="Arial"/>
        </w:rPr>
        <w:t>City</w:t>
      </w:r>
      <w:proofErr w:type="gramEnd"/>
      <w:r>
        <w:rPr>
          <w:rFonts w:cs="Arial"/>
        </w:rPr>
        <w:t>.</w:t>
      </w:r>
    </w:p>
    <w:p w14:paraId="006C6B16" w14:textId="77777777" w:rsidR="00E049BA" w:rsidRDefault="00E049BA">
      <w:pPr>
        <w:widowControl w:val="0"/>
        <w:spacing w:beforeAutospacing="1" w:afterAutospacing="1"/>
        <w:rPr>
          <w:rFonts w:cs="Arial"/>
        </w:rPr>
      </w:pPr>
    </w:p>
    <w:p w14:paraId="5A54D0FB" w14:textId="77777777" w:rsidR="00E049BA" w:rsidRDefault="002C06ED">
      <w:pPr>
        <w:widowControl w:val="0"/>
        <w:spacing w:beforeAutospacing="1" w:afterAutospacing="1"/>
        <w:rPr>
          <w:rFonts w:cs="Arial"/>
        </w:rPr>
      </w:pPr>
      <w:r>
        <w:rPr>
          <w:rFonts w:cs="Arial"/>
          <w:u w:val="single"/>
        </w:rPr>
        <w:t>Access to affordable homes:</w:t>
      </w:r>
    </w:p>
    <w:p w14:paraId="02E20A8D" w14:textId="77777777" w:rsidR="00E049BA" w:rsidRDefault="002C06ED">
      <w:pPr>
        <w:widowControl w:val="0"/>
        <w:spacing w:beforeAutospacing="1" w:afterAutospacing="1"/>
        <w:rPr>
          <w:rFonts w:cs="Arial"/>
        </w:rPr>
      </w:pPr>
      <w:r>
        <w:rPr>
          <w:rFonts w:cs="Arial"/>
        </w:rPr>
        <w:t xml:space="preserve">The Cranston Housing Authority, the Office of Constituent Affairs, Comprehensive Community Action Program (C.C.A.P.) and the Cranston Planning </w:t>
      </w:r>
      <w:proofErr w:type="gramStart"/>
      <w:r>
        <w:rPr>
          <w:rFonts w:cs="Arial"/>
        </w:rPr>
        <w:t>Department  continue</w:t>
      </w:r>
      <w:proofErr w:type="gramEnd"/>
      <w:r>
        <w:rPr>
          <w:rFonts w:cs="Arial"/>
        </w:rPr>
        <w:t xml:space="preserve"> to encourage and promote collaboration with non- profit organizations, private developers, and the real estate industry to develop multi-family and single- family public housing units. CCAP, a large non-profit organization, meets the State of Rhode Island’s criteria of a Community Housing Development Organization. As the City’s largest social service agency, </w:t>
      </w:r>
      <w:proofErr w:type="gramStart"/>
      <w:r>
        <w:rPr>
          <w:rFonts w:cs="Arial"/>
        </w:rPr>
        <w:t>CCAP  has</w:t>
      </w:r>
      <w:proofErr w:type="gramEnd"/>
      <w:r>
        <w:rPr>
          <w:rFonts w:cs="Arial"/>
        </w:rPr>
        <w:t xml:space="preserve"> 19 units at the former St. Matthews Convent, all for low/moderate income families.</w:t>
      </w:r>
    </w:p>
    <w:p w14:paraId="34BB683D" w14:textId="77777777" w:rsidR="00E049BA" w:rsidRDefault="002C06ED">
      <w:pPr>
        <w:widowControl w:val="0"/>
        <w:spacing w:beforeAutospacing="1" w:afterAutospacing="1"/>
        <w:rPr>
          <w:rFonts w:cs="Arial"/>
        </w:rPr>
      </w:pPr>
      <w:r>
        <w:rPr>
          <w:rFonts w:cs="Arial"/>
          <w:u w:val="single"/>
        </w:rPr>
        <w:t>Access to healthy housing:</w:t>
      </w:r>
    </w:p>
    <w:p w14:paraId="149ABBAA" w14:textId="77777777" w:rsidR="00E049BA" w:rsidRDefault="002C06ED">
      <w:pPr>
        <w:widowControl w:val="0"/>
        <w:spacing w:beforeAutospacing="1" w:afterAutospacing="1"/>
        <w:rPr>
          <w:rFonts w:cs="Arial"/>
        </w:rPr>
      </w:pPr>
      <w:r>
        <w:rPr>
          <w:rFonts w:cs="Arial"/>
        </w:rPr>
        <w:t>The presence of lead paint in older homes creates a need for abatement programs to be continued. Although lead poisoning rates in the city have decreased significantly over the last 20 years, there remains a concern that landlords may not rent to families with children under 6 years old for fear of lead paint liability issues.</w:t>
      </w:r>
    </w:p>
    <w:p w14:paraId="0F1E2886" w14:textId="77777777" w:rsidR="00E049BA" w:rsidRDefault="002C06ED">
      <w:pPr>
        <w:widowControl w:val="0"/>
        <w:spacing w:beforeAutospacing="1" w:afterAutospacing="1"/>
        <w:rPr>
          <w:rFonts w:cs="Arial"/>
        </w:rPr>
      </w:pPr>
      <w:r>
        <w:rPr>
          <w:rFonts w:cs="Arial"/>
        </w:rPr>
        <w:t>The City of Cranston continues to provide funds for first time homebuyer and housing rehabilitation programs. These programs have proven to be very successful. All Closing Cost and Down Payment recipients must provide a Lead Safe Certificate before funds are released, and all housing rehabilitation projects must pass a lead inspection and have a Lead Safe Certificate before final payment is made. Also, a Lead Safe Certificate is required for any house acquired, rehabilitated, and subsequently sold to an inc</w:t>
      </w:r>
      <w:r>
        <w:rPr>
          <w:rFonts w:cs="Arial"/>
        </w:rPr>
        <w:t>ome eligible household.</w:t>
      </w:r>
    </w:p>
    <w:p w14:paraId="13056643" w14:textId="77777777" w:rsidR="00E049BA" w:rsidRDefault="00E049BA">
      <w:pPr>
        <w:widowControl w:val="0"/>
        <w:spacing w:beforeAutospacing="1" w:afterAutospacing="1"/>
        <w:rPr>
          <w:rFonts w:cs="Arial"/>
        </w:rPr>
      </w:pPr>
    </w:p>
    <w:p w14:paraId="5130DA0D" w14:textId="77777777" w:rsidR="00E049BA" w:rsidRDefault="002C06ED">
      <w:pPr>
        <w:pStyle w:val="Heading2"/>
        <w:pageBreakBefore/>
        <w:widowControl w:val="0"/>
        <w:rPr>
          <w:rFonts w:ascii="Calibri" w:hAnsi="Calibri"/>
          <w:i w:val="0"/>
        </w:rPr>
      </w:pPr>
      <w:r>
        <w:rPr>
          <w:rFonts w:ascii="Calibri" w:hAnsi="Calibri"/>
          <w:i w:val="0"/>
        </w:rPr>
        <w:lastRenderedPageBreak/>
        <w:t>CR-40 - Monitoring 91.220 and 91.230</w:t>
      </w:r>
    </w:p>
    <w:p w14:paraId="5A2A0A06" w14:textId="77777777" w:rsidR="00E049BA" w:rsidRDefault="002C06ED">
      <w:pPr>
        <w:widowControl w:val="0"/>
        <w:rPr>
          <w:b/>
          <w:sz w:val="24"/>
          <w:szCs w:val="24"/>
        </w:rPr>
      </w:pPr>
      <w:r>
        <w:rPr>
          <w:b/>
          <w:sz w:val="24"/>
          <w:szCs w:val="24"/>
        </w:rPr>
        <w:t>Describe the standards and procedures used to monitor activities carried out in furtherance of the plan and used to ensure long-term compliance with requirements of the programs involved, including minority business outreach and the comprehensive planning requirements</w:t>
      </w:r>
    </w:p>
    <w:p w14:paraId="19CF7833" w14:textId="77777777" w:rsidR="00E049BA" w:rsidRDefault="002C06ED">
      <w:pPr>
        <w:widowControl w:val="0"/>
        <w:spacing w:beforeAutospacing="1" w:afterAutospacing="1"/>
        <w:rPr>
          <w:rFonts w:cs="Arial"/>
        </w:rPr>
      </w:pPr>
      <w:r>
        <w:rPr>
          <w:rFonts w:cs="Arial"/>
        </w:rPr>
        <w:t xml:space="preserve">Projects are evaluated for eligibility for CDBG funding before being included in an Action Plan or added </w:t>
      </w:r>
      <w:proofErr w:type="gramStart"/>
      <w:r>
        <w:rPr>
          <w:rFonts w:cs="Arial"/>
        </w:rPr>
        <w:t>during the course of</w:t>
      </w:r>
      <w:proofErr w:type="gramEnd"/>
      <w:r>
        <w:rPr>
          <w:rFonts w:cs="Arial"/>
        </w:rPr>
        <w:t xml:space="preserve"> a program year. In addition, they must satisfy a National Objective and a priority requirement of our comprehensive plan.</w:t>
      </w:r>
      <w:r>
        <w:rPr>
          <w:rFonts w:cs="Arial"/>
        </w:rPr>
        <w:br/>
        <w:t xml:space="preserve">For activities under the Low/Mod Income Housing National Objective (LMH), such as Housing Rehabilitation and First-Time Homebuyers Assistance, households must provide documentation of all household income </w:t>
      </w:r>
      <w:proofErr w:type="gramStart"/>
      <w:r>
        <w:rPr>
          <w:rFonts w:cs="Arial"/>
        </w:rPr>
        <w:t>in order to</w:t>
      </w:r>
      <w:proofErr w:type="gramEnd"/>
      <w:r>
        <w:rPr>
          <w:rFonts w:cs="Arial"/>
        </w:rPr>
        <w:t xml:space="preserve"> determine eligibility for the program. For the Affordable Housing Acquisition program, in which a vacant house is purchased and rehabilitated for sale t</w:t>
      </w:r>
      <w:r>
        <w:rPr>
          <w:rFonts w:cs="Arial"/>
        </w:rPr>
        <w:t>o an income eligible household, the potential buyer must also provide income documentation to prove eligibility.</w:t>
      </w:r>
      <w:r>
        <w:rPr>
          <w:rFonts w:cs="Arial"/>
        </w:rPr>
        <w:br/>
        <w:t>Housing rehabilitation projects are intensely monitored for compliance with contract specifications and code compliance. Final payments to contractors are not made until the project has passed final inspection by the City’s buildings inspectors. Invoices are reviewed for compliance with the work specifications and for accuracy before payment.</w:t>
      </w:r>
      <w:r>
        <w:rPr>
          <w:rFonts w:cs="Arial"/>
        </w:rPr>
        <w:br/>
        <w:t>Activities under the Low/Mod Income Area Benefit Natio</w:t>
      </w:r>
      <w:r>
        <w:rPr>
          <w:rFonts w:cs="Arial"/>
        </w:rPr>
        <w:t>nal Objective (LMA) occur only in areas of census tracts and block groups that are eligible according to HUD’s current Low/Moderate Income Summary Data.</w:t>
      </w:r>
      <w:r>
        <w:rPr>
          <w:rFonts w:cs="Arial"/>
        </w:rPr>
        <w:br/>
        <w:t xml:space="preserve">Activities under the Low/Moderate Income Limited Clientele National Objective, such as Public Service activities, require income documentation to prove eligibility, except for those that are presumed eligible. </w:t>
      </w:r>
      <w:proofErr w:type="gramStart"/>
      <w:r>
        <w:rPr>
          <w:rFonts w:cs="Arial"/>
        </w:rPr>
        <w:t>During the course of</w:t>
      </w:r>
      <w:proofErr w:type="gramEnd"/>
      <w:r>
        <w:rPr>
          <w:rFonts w:cs="Arial"/>
        </w:rPr>
        <w:t xml:space="preserve"> the year, subrecipients are monitored to ensure that the proper documentation and recordkeeping are being maintained not only fo</w:t>
      </w:r>
      <w:r>
        <w:rPr>
          <w:rFonts w:cs="Arial"/>
        </w:rPr>
        <w:t>r clients but also for expenditures that are subsidized with CDBG funds, and to confirm that the subrecipient is adhering to terms of the agreement, including the Scope of Work. Monitoring encompasses such areas as National Objective compliance, recordkeeping, financial management, insurance, program income, equipment and property if applicable, audits, and procurement if applicable.</w:t>
      </w:r>
      <w:r>
        <w:rPr>
          <w:rFonts w:cs="Arial"/>
        </w:rPr>
        <w:br/>
        <w:t>Minority businesses are encouraged to participate in the bidding process for CDBG projects. As required by regulations, howev</w:t>
      </w:r>
      <w:r>
        <w:rPr>
          <w:rFonts w:cs="Arial"/>
        </w:rPr>
        <w:t>er, the low bidder wins the job, unless excluded, for example, by being ineligible to receive federal funds. The department continually solicits contractors to bid on housing rehabilitation projects. One cannot, however, force a minority business either to join the list or to submit a bid.</w:t>
      </w:r>
    </w:p>
    <w:p w14:paraId="47430535" w14:textId="77777777" w:rsidR="00E049BA" w:rsidRDefault="00E049BA">
      <w:pPr>
        <w:widowControl w:val="0"/>
        <w:rPr>
          <w:rFonts w:cs="Arial"/>
        </w:rPr>
      </w:pPr>
    </w:p>
    <w:p w14:paraId="712BA36F" w14:textId="77777777" w:rsidR="00E049BA" w:rsidRDefault="00E049BA">
      <w:pPr>
        <w:widowControl w:val="0"/>
        <w:rPr>
          <w:rFonts w:cs="Arial"/>
        </w:rPr>
      </w:pPr>
    </w:p>
    <w:p w14:paraId="3229C9B8" w14:textId="77777777" w:rsidR="00E049BA" w:rsidRDefault="00E049BA">
      <w:pPr>
        <w:widowControl w:val="0"/>
        <w:rPr>
          <w:rFonts w:cs="Arial"/>
        </w:rPr>
      </w:pPr>
    </w:p>
    <w:p w14:paraId="082C5D02" w14:textId="77777777" w:rsidR="00E049BA" w:rsidRDefault="002C06ED">
      <w:pPr>
        <w:widowControl w:val="0"/>
        <w:rPr>
          <w:b/>
          <w:sz w:val="24"/>
          <w:szCs w:val="24"/>
        </w:rPr>
      </w:pPr>
      <w:r>
        <w:rPr>
          <w:b/>
          <w:sz w:val="24"/>
          <w:szCs w:val="24"/>
        </w:rPr>
        <w:t>Citizen Participation Plan 91.105(d); 91.115(d)</w:t>
      </w:r>
    </w:p>
    <w:p w14:paraId="28F8BBF1" w14:textId="77777777" w:rsidR="00E049BA" w:rsidRDefault="002C06ED">
      <w:pPr>
        <w:widowControl w:val="0"/>
        <w:rPr>
          <w:sz w:val="24"/>
          <w:szCs w:val="24"/>
        </w:rPr>
      </w:pPr>
      <w:r>
        <w:rPr>
          <w:b/>
          <w:sz w:val="24"/>
          <w:szCs w:val="24"/>
        </w:rPr>
        <w:lastRenderedPageBreak/>
        <w:t>Describe the efforts to provide citizens with reasonable notice and an opportunity to comment on performance reports</w:t>
      </w:r>
      <w:r>
        <w:rPr>
          <w:sz w:val="24"/>
          <w:szCs w:val="24"/>
        </w:rPr>
        <w:t>.</w:t>
      </w:r>
    </w:p>
    <w:p w14:paraId="694ED873" w14:textId="77777777" w:rsidR="00E049BA" w:rsidRDefault="002C06ED">
      <w:pPr>
        <w:spacing w:beforeAutospacing="1" w:afterAutospacing="1"/>
      </w:pPr>
      <w:r>
        <w:t xml:space="preserve">A copy of the CAPER was listed and announced on the City of Cranston's website on September 10, </w:t>
      </w:r>
      <w:proofErr w:type="gramStart"/>
      <w:r>
        <w:t>2025</w:t>
      </w:r>
      <w:proofErr w:type="gramEnd"/>
      <w:r>
        <w:t xml:space="preserve"> for public viewing online. Additionally, a public notice regarding the CAPER was published in the Cranston Herald on September 11, 2025. The notice announced a public comment period running from September 11 through September 25, 2025. During this time, the CAPER was available for public review at the Office of Community Development, located at the Pastore Youth Center, 155 </w:t>
      </w:r>
      <w:proofErr w:type="spellStart"/>
      <w:r>
        <w:t>Gansett</w:t>
      </w:r>
      <w:proofErr w:type="spellEnd"/>
      <w:r>
        <w:t xml:space="preserve"> Avenue, Cranston, RI 02910.</w:t>
      </w:r>
    </w:p>
    <w:p w14:paraId="10D2B40F" w14:textId="77777777" w:rsidR="00E049BA" w:rsidRDefault="002C06ED">
      <w:pPr>
        <w:rPr>
          <w:b/>
          <w:i/>
          <w:sz w:val="28"/>
          <w:szCs w:val="28"/>
        </w:rPr>
      </w:pPr>
      <w:r>
        <w:rPr>
          <w:b/>
          <w:sz w:val="28"/>
          <w:szCs w:val="28"/>
        </w:rPr>
        <w:t>CR-45 - CDBG 91.520(c)</w:t>
      </w:r>
    </w:p>
    <w:p w14:paraId="7E5255B9" w14:textId="77777777" w:rsidR="00E049BA" w:rsidRDefault="002C06ED">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37AF95D7" w14:textId="77777777" w:rsidR="00E049BA" w:rsidRDefault="002C06ED">
      <w:pPr>
        <w:widowControl w:val="0"/>
        <w:spacing w:beforeAutospacing="1" w:afterAutospacing="1"/>
        <w:rPr>
          <w:rFonts w:cs="Arial"/>
        </w:rPr>
      </w:pPr>
      <w:r>
        <w:rPr>
          <w:rFonts w:cs="Arial"/>
        </w:rPr>
        <w:t>There were no changes in Cranston's program objectives. Cranston has historically tried to address the many areas of priorities as equitably as possible given the limited availability of funds and the cap on Public Services funding.</w:t>
      </w:r>
    </w:p>
    <w:p w14:paraId="661427DA" w14:textId="77777777" w:rsidR="00E049BA" w:rsidRDefault="002C06ED">
      <w:pPr>
        <w:widowControl w:val="0"/>
        <w:rPr>
          <w:b/>
          <w:sz w:val="24"/>
          <w:szCs w:val="24"/>
        </w:rPr>
      </w:pPr>
      <w:r>
        <w:rPr>
          <w:b/>
          <w:sz w:val="24"/>
          <w:szCs w:val="24"/>
        </w:rPr>
        <w:t>Does this Jurisdiction have any open Brownfields Economic Development Initiative (BEDI) grants?</w:t>
      </w:r>
    </w:p>
    <w:p w14:paraId="2E49D2BA" w14:textId="77777777" w:rsidR="00E049BA" w:rsidRDefault="002C06ED">
      <w:pPr>
        <w:widowControl w:val="0"/>
        <w:spacing w:beforeAutospacing="1" w:afterAutospacing="1"/>
        <w:rPr>
          <w:rFonts w:cs="Arial"/>
        </w:rPr>
      </w:pPr>
      <w:r>
        <w:rPr>
          <w:rFonts w:cs="Arial"/>
        </w:rPr>
        <w:t>No</w:t>
      </w:r>
    </w:p>
    <w:p w14:paraId="6125FF10" w14:textId="77777777" w:rsidR="00E049BA" w:rsidRDefault="002C06ED">
      <w:pPr>
        <w:widowControl w:val="0"/>
        <w:rPr>
          <w:b/>
          <w:sz w:val="24"/>
          <w:szCs w:val="24"/>
        </w:rPr>
      </w:pPr>
      <w:r>
        <w:rPr>
          <w:b/>
          <w:sz w:val="24"/>
          <w:szCs w:val="24"/>
        </w:rPr>
        <w:t xml:space="preserve"> [BEDI </w:t>
      </w:r>
      <w:proofErr w:type="gramStart"/>
      <w:r>
        <w:rPr>
          <w:b/>
          <w:sz w:val="24"/>
          <w:szCs w:val="24"/>
        </w:rPr>
        <w:t>grantees]  Describe</w:t>
      </w:r>
      <w:proofErr w:type="gramEnd"/>
      <w:r>
        <w:rPr>
          <w:b/>
          <w:sz w:val="24"/>
          <w:szCs w:val="24"/>
        </w:rPr>
        <w:t xml:space="preserve"> accomplishments and program outcomes during the last year.</w:t>
      </w:r>
    </w:p>
    <w:p w14:paraId="09B6EC52" w14:textId="77777777" w:rsidR="00E049BA" w:rsidRDefault="00E049BA">
      <w:pPr>
        <w:widowControl w:val="0"/>
        <w:rPr>
          <w:rFonts w:cs="Arial"/>
        </w:rPr>
      </w:pPr>
    </w:p>
    <w:p w14:paraId="4994C1A8" w14:textId="77777777" w:rsidR="00E049BA" w:rsidRDefault="00E049BA"/>
    <w:p w14:paraId="6AD628E3" w14:textId="77777777" w:rsidR="00E049BA" w:rsidRDefault="002C06ED">
      <w:pPr>
        <w:keepNext/>
        <w:pageBreakBefore/>
        <w:widowControl w:val="0"/>
        <w:spacing w:before="240" w:after="60"/>
        <w:outlineLvl w:val="1"/>
        <w:rPr>
          <w:rFonts w:cs="Arial"/>
          <w:b/>
          <w:bCs/>
          <w:iCs/>
          <w:sz w:val="28"/>
          <w:szCs w:val="28"/>
        </w:rPr>
      </w:pPr>
      <w:r>
        <w:rPr>
          <w:rFonts w:cs="Arial"/>
          <w:b/>
          <w:bCs/>
          <w:iCs/>
          <w:sz w:val="28"/>
          <w:szCs w:val="28"/>
        </w:rPr>
        <w:lastRenderedPageBreak/>
        <w:t>CR-45 - CDBG 91.520(c)</w:t>
      </w:r>
    </w:p>
    <w:p w14:paraId="34EB8B05" w14:textId="77777777" w:rsidR="00E049BA" w:rsidRDefault="002C06ED">
      <w:pPr>
        <w:widowControl w:val="0"/>
        <w:rPr>
          <w:b/>
          <w:sz w:val="24"/>
          <w:szCs w:val="24"/>
        </w:rPr>
      </w:pPr>
      <w:r>
        <w:rPr>
          <w:b/>
          <w:sz w:val="24"/>
          <w:szCs w:val="24"/>
        </w:rPr>
        <w:t xml:space="preserve">Specify the nature of, and reasons for, any changes in the jurisdiction’s program objectives and indications of how the jurisdiction would change its programs </w:t>
      </w:r>
      <w:proofErr w:type="gramStart"/>
      <w:r>
        <w:rPr>
          <w:b/>
          <w:sz w:val="24"/>
          <w:szCs w:val="24"/>
        </w:rPr>
        <w:t>as a result of</w:t>
      </w:r>
      <w:proofErr w:type="gramEnd"/>
      <w:r>
        <w:rPr>
          <w:b/>
          <w:sz w:val="24"/>
          <w:szCs w:val="24"/>
        </w:rPr>
        <w:t xml:space="preserve"> its experiences.</w:t>
      </w:r>
    </w:p>
    <w:p w14:paraId="4B4110B6" w14:textId="77777777" w:rsidR="00E049BA" w:rsidRDefault="002C06ED">
      <w:pPr>
        <w:widowControl w:val="0"/>
        <w:spacing w:beforeAutospacing="1" w:afterAutospacing="1"/>
        <w:rPr>
          <w:rFonts w:cs="Arial"/>
        </w:rPr>
      </w:pPr>
      <w:r>
        <w:rPr>
          <w:rFonts w:cs="Arial"/>
        </w:rPr>
        <w:t>There were no changes in Cranston's program objectives. Cranston has historically tried to address the many areas of priorities as equitably as possible given the limited availability of funds and the cap on Public Services funding.</w:t>
      </w:r>
    </w:p>
    <w:p w14:paraId="1A2B046A" w14:textId="77777777" w:rsidR="00E049BA" w:rsidRDefault="002C06ED">
      <w:pPr>
        <w:widowControl w:val="0"/>
        <w:rPr>
          <w:b/>
          <w:sz w:val="24"/>
          <w:szCs w:val="24"/>
        </w:rPr>
      </w:pPr>
      <w:r>
        <w:rPr>
          <w:b/>
          <w:sz w:val="24"/>
          <w:szCs w:val="24"/>
        </w:rPr>
        <w:t>Does this Jurisdiction have any open Brownfields Economic Development Initiative (BEDI) grants?</w:t>
      </w:r>
    </w:p>
    <w:p w14:paraId="7F55185E" w14:textId="77777777" w:rsidR="00E049BA" w:rsidRDefault="002C06ED">
      <w:pPr>
        <w:widowControl w:val="0"/>
        <w:spacing w:beforeAutospacing="1" w:afterAutospacing="1"/>
        <w:rPr>
          <w:rFonts w:cs="Arial"/>
        </w:rPr>
      </w:pPr>
      <w:r>
        <w:rPr>
          <w:rFonts w:cs="Arial"/>
        </w:rPr>
        <w:t>No</w:t>
      </w:r>
    </w:p>
    <w:p w14:paraId="7E94C162" w14:textId="77777777" w:rsidR="00E049BA" w:rsidRDefault="002C06ED">
      <w:pPr>
        <w:widowControl w:val="0"/>
        <w:rPr>
          <w:b/>
          <w:sz w:val="24"/>
          <w:szCs w:val="24"/>
        </w:rPr>
      </w:pPr>
      <w:r>
        <w:rPr>
          <w:b/>
          <w:sz w:val="24"/>
          <w:szCs w:val="24"/>
        </w:rPr>
        <w:t xml:space="preserve">[BEDI </w:t>
      </w:r>
      <w:proofErr w:type="gramStart"/>
      <w:r>
        <w:rPr>
          <w:b/>
          <w:sz w:val="24"/>
          <w:szCs w:val="24"/>
        </w:rPr>
        <w:t>grantees]  Describe</w:t>
      </w:r>
      <w:proofErr w:type="gramEnd"/>
      <w:r>
        <w:rPr>
          <w:b/>
          <w:sz w:val="24"/>
          <w:szCs w:val="24"/>
        </w:rPr>
        <w:t xml:space="preserve"> accomplishments and program outcomes during the last year.</w:t>
      </w:r>
    </w:p>
    <w:p w14:paraId="2BCBDAE4" w14:textId="77777777" w:rsidR="00E049BA" w:rsidRDefault="00E049BA">
      <w:pPr>
        <w:widowControl w:val="0"/>
        <w:rPr>
          <w:rFonts w:cs="Arial"/>
        </w:rPr>
      </w:pPr>
    </w:p>
    <w:p w14:paraId="46993445" w14:textId="77777777" w:rsidR="00E049BA" w:rsidRDefault="00E049BA"/>
    <w:p w14:paraId="7E7713EE" w14:textId="77777777" w:rsidR="00E049BA" w:rsidRDefault="00E049BA"/>
    <w:p w14:paraId="39447BA3" w14:textId="77777777" w:rsidR="00E049BA" w:rsidRDefault="002C06ED">
      <w:pPr>
        <w:pStyle w:val="Heading2"/>
        <w:keepNext w:val="0"/>
        <w:pageBreakBefore/>
        <w:widowControl w:val="0"/>
        <w:rPr>
          <w:rFonts w:ascii="Calibri" w:hAnsi="Calibri"/>
          <w:i w:val="0"/>
        </w:rPr>
      </w:pPr>
      <w:r>
        <w:rPr>
          <w:rFonts w:ascii="Calibri" w:hAnsi="Calibri"/>
          <w:i w:val="0"/>
        </w:rPr>
        <w:lastRenderedPageBreak/>
        <w:t>CR-58 – Section 3</w:t>
      </w:r>
    </w:p>
    <w:p w14:paraId="1347DE88" w14:textId="77777777" w:rsidR="00E049BA" w:rsidRDefault="002C06ED">
      <w:pPr>
        <w:widowControl w:val="0"/>
        <w:rPr>
          <w:b/>
          <w:sz w:val="24"/>
          <w:szCs w:val="24"/>
        </w:rPr>
      </w:pPr>
      <w:r>
        <w:rPr>
          <w:b/>
          <w:sz w:val="24"/>
          <w:szCs w:val="24"/>
        </w:rPr>
        <w:t xml:space="preserve">Identify the number of individuals assisted and the types of assistance provided </w:t>
      </w:r>
    </w:p>
    <w:p w14:paraId="4730B15E" w14:textId="77777777" w:rsidR="00E049BA" w:rsidRDefault="00E049BA">
      <w:pPr>
        <w:widowControl w:val="0"/>
        <w:rPr>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E049BA" w14:paraId="20D476B7" w14:textId="77777777">
        <w:trPr>
          <w:cantSplit/>
        </w:trPr>
        <w:tc>
          <w:tcPr>
            <w:tcW w:w="5490" w:type="dxa"/>
          </w:tcPr>
          <w:p w14:paraId="32113233" w14:textId="77777777" w:rsidR="00E049BA" w:rsidRDefault="002C06ED">
            <w:pPr>
              <w:keepNext/>
              <w:widowControl w:val="0"/>
              <w:tabs>
                <w:tab w:val="left" w:pos="2070"/>
              </w:tabs>
              <w:spacing w:after="0" w:line="240" w:lineRule="auto"/>
              <w:ind w:right="162"/>
              <w:jc w:val="center"/>
              <w:rPr>
                <w:b/>
              </w:rPr>
            </w:pPr>
            <w:r>
              <w:rPr>
                <w:b/>
              </w:rPr>
              <w:t>Total Labor Hours</w:t>
            </w:r>
          </w:p>
        </w:tc>
        <w:tc>
          <w:tcPr>
            <w:tcW w:w="810" w:type="dxa"/>
          </w:tcPr>
          <w:p w14:paraId="58BF9A34" w14:textId="77777777" w:rsidR="00E049BA" w:rsidRDefault="002C06ED">
            <w:pPr>
              <w:keepNext/>
              <w:widowControl w:val="0"/>
              <w:spacing w:after="0" w:line="240" w:lineRule="auto"/>
              <w:jc w:val="center"/>
              <w:rPr>
                <w:b/>
              </w:rPr>
            </w:pPr>
            <w:r>
              <w:rPr>
                <w:b/>
              </w:rPr>
              <w:t>CDBG</w:t>
            </w:r>
          </w:p>
        </w:tc>
        <w:tc>
          <w:tcPr>
            <w:tcW w:w="900" w:type="dxa"/>
          </w:tcPr>
          <w:p w14:paraId="498BA843" w14:textId="77777777" w:rsidR="00E049BA" w:rsidRDefault="002C06ED">
            <w:pPr>
              <w:keepNext/>
              <w:widowControl w:val="0"/>
              <w:spacing w:after="0" w:line="240" w:lineRule="auto"/>
              <w:jc w:val="center"/>
              <w:rPr>
                <w:b/>
              </w:rPr>
            </w:pPr>
            <w:r>
              <w:rPr>
                <w:b/>
              </w:rPr>
              <w:t>HOME</w:t>
            </w:r>
          </w:p>
        </w:tc>
        <w:tc>
          <w:tcPr>
            <w:tcW w:w="720" w:type="dxa"/>
          </w:tcPr>
          <w:p w14:paraId="0DC2F759" w14:textId="77777777" w:rsidR="00E049BA" w:rsidRDefault="002C06ED">
            <w:pPr>
              <w:keepNext/>
              <w:widowControl w:val="0"/>
              <w:spacing w:after="0" w:line="240" w:lineRule="auto"/>
              <w:rPr>
                <w:b/>
              </w:rPr>
            </w:pPr>
            <w:r>
              <w:rPr>
                <w:b/>
              </w:rPr>
              <w:t>ESG</w:t>
            </w:r>
          </w:p>
        </w:tc>
        <w:tc>
          <w:tcPr>
            <w:tcW w:w="990" w:type="dxa"/>
          </w:tcPr>
          <w:p w14:paraId="0B97BF1E" w14:textId="77777777" w:rsidR="00E049BA" w:rsidRDefault="002C06ED">
            <w:pPr>
              <w:keepNext/>
              <w:widowControl w:val="0"/>
              <w:spacing w:after="0" w:line="240" w:lineRule="auto"/>
              <w:jc w:val="center"/>
              <w:rPr>
                <w:b/>
              </w:rPr>
            </w:pPr>
            <w:r>
              <w:rPr>
                <w:b/>
              </w:rPr>
              <w:t>HOPWA</w:t>
            </w:r>
          </w:p>
        </w:tc>
        <w:tc>
          <w:tcPr>
            <w:tcW w:w="720" w:type="dxa"/>
          </w:tcPr>
          <w:p w14:paraId="578B94B3" w14:textId="77777777" w:rsidR="00E049BA" w:rsidRDefault="002C06ED">
            <w:pPr>
              <w:keepNext/>
              <w:widowControl w:val="0"/>
              <w:spacing w:after="0" w:line="240" w:lineRule="auto"/>
              <w:jc w:val="center"/>
              <w:rPr>
                <w:b/>
              </w:rPr>
            </w:pPr>
            <w:r>
              <w:rPr>
                <w:b/>
              </w:rPr>
              <w:t>HTF</w:t>
            </w:r>
          </w:p>
        </w:tc>
      </w:tr>
      <w:tr w:rsidR="00E049BA" w14:paraId="75F8A19E" w14:textId="77777777">
        <w:trPr>
          <w:cantSplit/>
        </w:trPr>
        <w:tc>
          <w:tcPr>
            <w:tcW w:w="5490" w:type="dxa"/>
            <w:vAlign w:val="center"/>
          </w:tcPr>
          <w:p w14:paraId="11DAFC3C" w14:textId="77777777" w:rsidR="00E049BA" w:rsidRDefault="002C06ED">
            <w:pPr>
              <w:spacing w:beforeAutospacing="1" w:afterAutospacing="1"/>
            </w:pPr>
            <w:r>
              <w:rPr>
                <w:rFonts w:ascii="Arial" w:hAnsi="Arial"/>
                <w:color w:val="25396E"/>
                <w:sz w:val="16"/>
              </w:rPr>
              <w:t>Total Number of Activities</w:t>
            </w:r>
          </w:p>
        </w:tc>
        <w:tc>
          <w:tcPr>
            <w:tcW w:w="810" w:type="dxa"/>
            <w:vAlign w:val="center"/>
          </w:tcPr>
          <w:p w14:paraId="190B54A7"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2BB4FC0" w14:textId="77777777" w:rsidR="00E049BA" w:rsidRDefault="002C06ED">
            <w:pPr>
              <w:spacing w:beforeAutospacing="1" w:afterAutospacing="1"/>
              <w:jc w:val="right"/>
            </w:pPr>
            <w:r>
              <w:rPr>
                <w:rFonts w:ascii="Arial" w:hAnsi="Arial"/>
                <w:color w:val="000000"/>
                <w:sz w:val="16"/>
              </w:rPr>
              <w:t>0</w:t>
            </w:r>
          </w:p>
        </w:tc>
        <w:tc>
          <w:tcPr>
            <w:tcW w:w="720" w:type="dxa"/>
            <w:vAlign w:val="center"/>
          </w:tcPr>
          <w:p w14:paraId="46EF64B9" w14:textId="77777777" w:rsidR="00E049BA" w:rsidRDefault="002C06ED">
            <w:pPr>
              <w:spacing w:beforeAutospacing="1" w:afterAutospacing="1"/>
              <w:jc w:val="right"/>
            </w:pPr>
            <w:r>
              <w:rPr>
                <w:rFonts w:ascii="Arial" w:hAnsi="Arial"/>
                <w:color w:val="000000"/>
                <w:sz w:val="16"/>
              </w:rPr>
              <w:t>0</w:t>
            </w:r>
          </w:p>
        </w:tc>
        <w:tc>
          <w:tcPr>
            <w:tcW w:w="990" w:type="dxa"/>
            <w:vAlign w:val="center"/>
          </w:tcPr>
          <w:p w14:paraId="68F7DD3A" w14:textId="77777777" w:rsidR="00E049BA" w:rsidRDefault="002C06ED">
            <w:pPr>
              <w:spacing w:beforeAutospacing="1" w:afterAutospacing="1"/>
              <w:jc w:val="right"/>
            </w:pPr>
            <w:r>
              <w:rPr>
                <w:rFonts w:ascii="Arial" w:hAnsi="Arial"/>
                <w:color w:val="000000"/>
                <w:sz w:val="16"/>
              </w:rPr>
              <w:t>0</w:t>
            </w:r>
          </w:p>
        </w:tc>
        <w:tc>
          <w:tcPr>
            <w:tcW w:w="720" w:type="dxa"/>
            <w:vAlign w:val="center"/>
          </w:tcPr>
          <w:p w14:paraId="07EEF9FA" w14:textId="77777777" w:rsidR="00E049BA" w:rsidRDefault="002C06ED">
            <w:pPr>
              <w:spacing w:beforeAutospacing="1" w:afterAutospacing="1"/>
              <w:jc w:val="right"/>
            </w:pPr>
            <w:r>
              <w:rPr>
                <w:rFonts w:ascii="Arial" w:hAnsi="Arial"/>
                <w:color w:val="000000"/>
                <w:sz w:val="16"/>
              </w:rPr>
              <w:t>0</w:t>
            </w:r>
          </w:p>
        </w:tc>
      </w:tr>
      <w:tr w:rsidR="00E049BA" w14:paraId="71C9E62A" w14:textId="77777777">
        <w:trPr>
          <w:cantSplit/>
        </w:trPr>
        <w:tc>
          <w:tcPr>
            <w:tcW w:w="5490" w:type="dxa"/>
            <w:vAlign w:val="center"/>
          </w:tcPr>
          <w:p w14:paraId="5E5D1445" w14:textId="77777777" w:rsidR="00E049BA" w:rsidRDefault="002C06ED">
            <w:pPr>
              <w:spacing w:beforeAutospacing="1" w:afterAutospacing="1"/>
            </w:pPr>
            <w:r>
              <w:rPr>
                <w:rFonts w:ascii="Arial" w:hAnsi="Arial"/>
                <w:color w:val="25396E"/>
                <w:sz w:val="16"/>
              </w:rPr>
              <w:t>Total Labor Hours</w:t>
            </w:r>
          </w:p>
        </w:tc>
        <w:tc>
          <w:tcPr>
            <w:tcW w:w="810" w:type="dxa"/>
            <w:vAlign w:val="center"/>
          </w:tcPr>
          <w:p w14:paraId="33DF8E3B"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22604E3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3A66E13"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02D9A8AC"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732872D2" w14:textId="77777777" w:rsidR="00E049BA" w:rsidRDefault="002C06ED">
            <w:pPr>
              <w:spacing w:beforeAutospacing="1" w:afterAutospacing="1"/>
              <w:jc w:val="right"/>
            </w:pPr>
            <w:r>
              <w:rPr>
                <w:rFonts w:ascii="Arial" w:hAnsi="Arial"/>
                <w:color w:val="000000"/>
                <w:sz w:val="16"/>
              </w:rPr>
              <w:t xml:space="preserve"> </w:t>
            </w:r>
          </w:p>
        </w:tc>
      </w:tr>
      <w:tr w:rsidR="00E049BA" w14:paraId="24C22F74" w14:textId="77777777">
        <w:trPr>
          <w:cantSplit/>
        </w:trPr>
        <w:tc>
          <w:tcPr>
            <w:tcW w:w="5490" w:type="dxa"/>
            <w:vAlign w:val="center"/>
          </w:tcPr>
          <w:p w14:paraId="698FBE2F" w14:textId="77777777" w:rsidR="00E049BA" w:rsidRDefault="002C06ED">
            <w:pPr>
              <w:spacing w:beforeAutospacing="1" w:afterAutospacing="1"/>
            </w:pPr>
            <w:r>
              <w:rPr>
                <w:rFonts w:ascii="Arial" w:hAnsi="Arial"/>
                <w:color w:val="25396E"/>
                <w:sz w:val="16"/>
              </w:rPr>
              <w:t>Total Section 3 Worker Hours</w:t>
            </w:r>
          </w:p>
        </w:tc>
        <w:tc>
          <w:tcPr>
            <w:tcW w:w="810" w:type="dxa"/>
            <w:vAlign w:val="center"/>
          </w:tcPr>
          <w:p w14:paraId="4A8004B0"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2C40B831"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9E70AFD"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3F9D67EC"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4A8A4AD" w14:textId="77777777" w:rsidR="00E049BA" w:rsidRDefault="002C06ED">
            <w:pPr>
              <w:spacing w:beforeAutospacing="1" w:afterAutospacing="1"/>
              <w:jc w:val="right"/>
            </w:pPr>
            <w:r>
              <w:rPr>
                <w:rFonts w:ascii="Arial" w:hAnsi="Arial"/>
                <w:color w:val="000000"/>
                <w:sz w:val="16"/>
              </w:rPr>
              <w:t xml:space="preserve"> </w:t>
            </w:r>
          </w:p>
        </w:tc>
      </w:tr>
      <w:tr w:rsidR="00E049BA" w14:paraId="0E1600FF" w14:textId="77777777">
        <w:trPr>
          <w:cantSplit/>
        </w:trPr>
        <w:tc>
          <w:tcPr>
            <w:tcW w:w="5490" w:type="dxa"/>
            <w:vAlign w:val="center"/>
          </w:tcPr>
          <w:p w14:paraId="48A34E3B" w14:textId="77777777" w:rsidR="00E049BA" w:rsidRDefault="002C06ED">
            <w:pPr>
              <w:spacing w:beforeAutospacing="1" w:afterAutospacing="1"/>
            </w:pPr>
            <w:r>
              <w:rPr>
                <w:rFonts w:ascii="Arial" w:hAnsi="Arial"/>
                <w:color w:val="25396E"/>
                <w:sz w:val="16"/>
              </w:rPr>
              <w:t>Total Targeted Section 3 Worker Hours</w:t>
            </w:r>
          </w:p>
        </w:tc>
        <w:tc>
          <w:tcPr>
            <w:tcW w:w="810" w:type="dxa"/>
            <w:vAlign w:val="center"/>
          </w:tcPr>
          <w:p w14:paraId="3BFD0626"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74E1BC0A"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2F7BC7A"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45065D13"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202D8A0E" w14:textId="77777777" w:rsidR="00E049BA" w:rsidRDefault="002C06ED">
            <w:pPr>
              <w:spacing w:beforeAutospacing="1" w:afterAutospacing="1"/>
              <w:jc w:val="right"/>
            </w:pPr>
            <w:r>
              <w:rPr>
                <w:rFonts w:ascii="Arial" w:hAnsi="Arial"/>
                <w:color w:val="000000"/>
                <w:sz w:val="16"/>
              </w:rPr>
              <w:t xml:space="preserve"> </w:t>
            </w:r>
          </w:p>
        </w:tc>
      </w:tr>
    </w:tbl>
    <w:p w14:paraId="7D30FC2B"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Total Labor Hours</w:t>
      </w:r>
    </w:p>
    <w:p w14:paraId="5B46ED0A" w14:textId="77777777" w:rsidR="00E049BA" w:rsidRDefault="00E049BA">
      <w:pPr>
        <w:widowControl w:val="0"/>
        <w:rPr>
          <w:b/>
          <w:sz w:val="24"/>
          <w:szCs w:val="24"/>
        </w:rPr>
      </w:pPr>
    </w:p>
    <w:tbl>
      <w:tblPr>
        <w:tblW w:w="5021"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335"/>
        <w:gridCol w:w="793"/>
        <w:gridCol w:w="881"/>
        <w:gridCol w:w="706"/>
        <w:gridCol w:w="968"/>
        <w:gridCol w:w="706"/>
      </w:tblGrid>
      <w:tr w:rsidR="00E049BA" w14:paraId="4440DE4C" w14:textId="77777777">
        <w:trPr>
          <w:cantSplit/>
        </w:trPr>
        <w:tc>
          <w:tcPr>
            <w:tcW w:w="5490" w:type="dxa"/>
          </w:tcPr>
          <w:p w14:paraId="4B00765E" w14:textId="77777777" w:rsidR="00E049BA" w:rsidRDefault="002C06ED">
            <w:pPr>
              <w:keepNext/>
              <w:widowControl w:val="0"/>
              <w:tabs>
                <w:tab w:val="left" w:pos="2070"/>
              </w:tabs>
              <w:spacing w:after="0" w:line="240" w:lineRule="auto"/>
              <w:ind w:right="162"/>
              <w:jc w:val="center"/>
              <w:rPr>
                <w:b/>
              </w:rPr>
            </w:pPr>
            <w:r>
              <w:rPr>
                <w:b/>
              </w:rPr>
              <w:t>Qualitative Efforts - Number of Activities by Program</w:t>
            </w:r>
          </w:p>
        </w:tc>
        <w:tc>
          <w:tcPr>
            <w:tcW w:w="810" w:type="dxa"/>
          </w:tcPr>
          <w:p w14:paraId="6BC9D6E7" w14:textId="77777777" w:rsidR="00E049BA" w:rsidRDefault="002C06ED">
            <w:pPr>
              <w:keepNext/>
              <w:widowControl w:val="0"/>
              <w:spacing w:after="0" w:line="240" w:lineRule="auto"/>
              <w:jc w:val="center"/>
              <w:rPr>
                <w:b/>
              </w:rPr>
            </w:pPr>
            <w:r>
              <w:rPr>
                <w:b/>
              </w:rPr>
              <w:t>CDBG</w:t>
            </w:r>
          </w:p>
        </w:tc>
        <w:tc>
          <w:tcPr>
            <w:tcW w:w="900" w:type="dxa"/>
          </w:tcPr>
          <w:p w14:paraId="39464531" w14:textId="77777777" w:rsidR="00E049BA" w:rsidRDefault="002C06ED">
            <w:pPr>
              <w:keepNext/>
              <w:widowControl w:val="0"/>
              <w:spacing w:after="0" w:line="240" w:lineRule="auto"/>
              <w:jc w:val="center"/>
              <w:rPr>
                <w:b/>
              </w:rPr>
            </w:pPr>
            <w:r>
              <w:rPr>
                <w:b/>
              </w:rPr>
              <w:t>HOME</w:t>
            </w:r>
          </w:p>
        </w:tc>
        <w:tc>
          <w:tcPr>
            <w:tcW w:w="720" w:type="dxa"/>
          </w:tcPr>
          <w:p w14:paraId="57D94A95" w14:textId="77777777" w:rsidR="00E049BA" w:rsidRDefault="002C06ED">
            <w:pPr>
              <w:keepNext/>
              <w:widowControl w:val="0"/>
              <w:spacing w:after="0" w:line="240" w:lineRule="auto"/>
              <w:rPr>
                <w:b/>
              </w:rPr>
            </w:pPr>
            <w:r>
              <w:rPr>
                <w:b/>
              </w:rPr>
              <w:t>ESG</w:t>
            </w:r>
          </w:p>
        </w:tc>
        <w:tc>
          <w:tcPr>
            <w:tcW w:w="990" w:type="dxa"/>
          </w:tcPr>
          <w:p w14:paraId="460F118B" w14:textId="77777777" w:rsidR="00E049BA" w:rsidRDefault="002C06ED">
            <w:pPr>
              <w:keepNext/>
              <w:widowControl w:val="0"/>
              <w:spacing w:after="0" w:line="240" w:lineRule="auto"/>
              <w:jc w:val="center"/>
              <w:rPr>
                <w:b/>
              </w:rPr>
            </w:pPr>
            <w:r>
              <w:rPr>
                <w:b/>
              </w:rPr>
              <w:t>HOPWA</w:t>
            </w:r>
          </w:p>
        </w:tc>
        <w:tc>
          <w:tcPr>
            <w:tcW w:w="720" w:type="dxa"/>
          </w:tcPr>
          <w:p w14:paraId="4B20CC0D" w14:textId="77777777" w:rsidR="00E049BA" w:rsidRDefault="002C06ED">
            <w:pPr>
              <w:keepNext/>
              <w:widowControl w:val="0"/>
              <w:spacing w:after="0" w:line="240" w:lineRule="auto"/>
              <w:jc w:val="center"/>
              <w:rPr>
                <w:b/>
              </w:rPr>
            </w:pPr>
            <w:r>
              <w:rPr>
                <w:b/>
              </w:rPr>
              <w:t>HTF</w:t>
            </w:r>
          </w:p>
        </w:tc>
      </w:tr>
      <w:tr w:rsidR="00E049BA" w14:paraId="27A426C1" w14:textId="77777777">
        <w:trPr>
          <w:cantSplit/>
        </w:trPr>
        <w:tc>
          <w:tcPr>
            <w:tcW w:w="5490" w:type="dxa"/>
            <w:vAlign w:val="center"/>
          </w:tcPr>
          <w:p w14:paraId="079CDFB5" w14:textId="77777777" w:rsidR="00E049BA" w:rsidRDefault="002C06ED">
            <w:pPr>
              <w:spacing w:beforeAutospacing="1" w:afterAutospacing="1"/>
            </w:pPr>
            <w:r>
              <w:rPr>
                <w:rFonts w:ascii="Arial" w:hAnsi="Arial"/>
                <w:color w:val="25396E"/>
                <w:sz w:val="16"/>
              </w:rPr>
              <w:t>Outreach efforts to generate job applicants who are Public Housing Targeted Workers</w:t>
            </w:r>
          </w:p>
        </w:tc>
        <w:tc>
          <w:tcPr>
            <w:tcW w:w="810" w:type="dxa"/>
            <w:vAlign w:val="center"/>
          </w:tcPr>
          <w:p w14:paraId="283ECAEB"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0BFB5AA3"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4D0DAB5"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1B633423"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7D3E926" w14:textId="77777777" w:rsidR="00E049BA" w:rsidRDefault="002C06ED">
            <w:pPr>
              <w:spacing w:beforeAutospacing="1" w:afterAutospacing="1"/>
              <w:jc w:val="right"/>
            </w:pPr>
            <w:r>
              <w:rPr>
                <w:rFonts w:ascii="Arial" w:hAnsi="Arial"/>
                <w:color w:val="000000"/>
                <w:sz w:val="16"/>
              </w:rPr>
              <w:t xml:space="preserve"> </w:t>
            </w:r>
          </w:p>
        </w:tc>
      </w:tr>
      <w:tr w:rsidR="00E049BA" w14:paraId="54482AEB" w14:textId="77777777">
        <w:trPr>
          <w:cantSplit/>
        </w:trPr>
        <w:tc>
          <w:tcPr>
            <w:tcW w:w="5490" w:type="dxa"/>
            <w:vAlign w:val="center"/>
          </w:tcPr>
          <w:p w14:paraId="5F6F8CAF" w14:textId="77777777" w:rsidR="00E049BA" w:rsidRDefault="002C06ED">
            <w:pPr>
              <w:spacing w:beforeAutospacing="1" w:afterAutospacing="1"/>
            </w:pPr>
            <w:r>
              <w:rPr>
                <w:rFonts w:ascii="Arial" w:hAnsi="Arial"/>
                <w:color w:val="25396E"/>
                <w:sz w:val="16"/>
              </w:rPr>
              <w:t>Outreach efforts to generate job applicants who are Other Funding Targeted Workers.</w:t>
            </w:r>
          </w:p>
        </w:tc>
        <w:tc>
          <w:tcPr>
            <w:tcW w:w="810" w:type="dxa"/>
            <w:vAlign w:val="center"/>
          </w:tcPr>
          <w:p w14:paraId="5574F5DB"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0308BC10"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01235BB4"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4481AA1C"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D67DAF8" w14:textId="77777777" w:rsidR="00E049BA" w:rsidRDefault="002C06ED">
            <w:pPr>
              <w:spacing w:beforeAutospacing="1" w:afterAutospacing="1"/>
              <w:jc w:val="right"/>
            </w:pPr>
            <w:r>
              <w:rPr>
                <w:rFonts w:ascii="Arial" w:hAnsi="Arial"/>
                <w:color w:val="000000"/>
                <w:sz w:val="16"/>
              </w:rPr>
              <w:t xml:space="preserve"> </w:t>
            </w:r>
          </w:p>
        </w:tc>
      </w:tr>
      <w:tr w:rsidR="00E049BA" w14:paraId="3E42BE0E" w14:textId="77777777">
        <w:trPr>
          <w:cantSplit/>
        </w:trPr>
        <w:tc>
          <w:tcPr>
            <w:tcW w:w="5490" w:type="dxa"/>
            <w:vAlign w:val="center"/>
          </w:tcPr>
          <w:p w14:paraId="6FA35681" w14:textId="77777777" w:rsidR="00E049BA" w:rsidRDefault="002C06ED">
            <w:pPr>
              <w:spacing w:beforeAutospacing="1" w:afterAutospacing="1"/>
            </w:pPr>
            <w:r>
              <w:rPr>
                <w:rFonts w:ascii="Arial" w:hAnsi="Arial"/>
                <w:color w:val="25396E"/>
                <w:sz w:val="16"/>
              </w:rPr>
              <w:t>Direct, on-the job training (including apprenticeships).</w:t>
            </w:r>
          </w:p>
        </w:tc>
        <w:tc>
          <w:tcPr>
            <w:tcW w:w="810" w:type="dxa"/>
            <w:vAlign w:val="center"/>
          </w:tcPr>
          <w:p w14:paraId="683A8A99"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28E3F39D"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C059451"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0D17CFC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58BC649" w14:textId="77777777" w:rsidR="00E049BA" w:rsidRDefault="002C06ED">
            <w:pPr>
              <w:spacing w:beforeAutospacing="1" w:afterAutospacing="1"/>
              <w:jc w:val="right"/>
            </w:pPr>
            <w:r>
              <w:rPr>
                <w:rFonts w:ascii="Arial" w:hAnsi="Arial"/>
                <w:color w:val="000000"/>
                <w:sz w:val="16"/>
              </w:rPr>
              <w:t xml:space="preserve"> </w:t>
            </w:r>
          </w:p>
        </w:tc>
      </w:tr>
      <w:tr w:rsidR="00E049BA" w14:paraId="2D3B7100" w14:textId="77777777">
        <w:trPr>
          <w:cantSplit/>
        </w:trPr>
        <w:tc>
          <w:tcPr>
            <w:tcW w:w="5490" w:type="dxa"/>
            <w:vAlign w:val="center"/>
          </w:tcPr>
          <w:p w14:paraId="2181E944" w14:textId="77777777" w:rsidR="00E049BA" w:rsidRDefault="002C06ED">
            <w:pPr>
              <w:spacing w:beforeAutospacing="1" w:afterAutospacing="1"/>
            </w:pPr>
            <w:r>
              <w:rPr>
                <w:rFonts w:ascii="Arial" w:hAnsi="Arial"/>
                <w:color w:val="25396E"/>
                <w:sz w:val="16"/>
              </w:rPr>
              <w:t>Indirect training such as arranging for, contracting for, or paying tuition for, off-site training.</w:t>
            </w:r>
          </w:p>
        </w:tc>
        <w:tc>
          <w:tcPr>
            <w:tcW w:w="810" w:type="dxa"/>
            <w:vAlign w:val="center"/>
          </w:tcPr>
          <w:p w14:paraId="0FDEA8CD"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BFE84C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E39C5DA"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29680F25"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819B4D8" w14:textId="77777777" w:rsidR="00E049BA" w:rsidRDefault="002C06ED">
            <w:pPr>
              <w:spacing w:beforeAutospacing="1" w:afterAutospacing="1"/>
              <w:jc w:val="right"/>
            </w:pPr>
            <w:r>
              <w:rPr>
                <w:rFonts w:ascii="Arial" w:hAnsi="Arial"/>
                <w:color w:val="000000"/>
                <w:sz w:val="16"/>
              </w:rPr>
              <w:t xml:space="preserve"> </w:t>
            </w:r>
          </w:p>
        </w:tc>
      </w:tr>
      <w:tr w:rsidR="00E049BA" w14:paraId="4A2BF355" w14:textId="77777777">
        <w:trPr>
          <w:cantSplit/>
        </w:trPr>
        <w:tc>
          <w:tcPr>
            <w:tcW w:w="5490" w:type="dxa"/>
            <w:vAlign w:val="center"/>
          </w:tcPr>
          <w:p w14:paraId="5C6ADF1F" w14:textId="77777777" w:rsidR="00E049BA" w:rsidRDefault="002C06ED">
            <w:pPr>
              <w:spacing w:beforeAutospacing="1" w:afterAutospacing="1"/>
            </w:pPr>
            <w:r>
              <w:rPr>
                <w:rFonts w:ascii="Arial" w:hAnsi="Arial"/>
                <w:color w:val="25396E"/>
                <w:sz w:val="16"/>
              </w:rPr>
              <w:t>Technical assistance to help Section 3 workers compete for jobs (e.g., resume assistance, coaching).</w:t>
            </w:r>
          </w:p>
        </w:tc>
        <w:tc>
          <w:tcPr>
            <w:tcW w:w="810" w:type="dxa"/>
            <w:vAlign w:val="center"/>
          </w:tcPr>
          <w:p w14:paraId="0AFE851A"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144EBF1"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2C1C70EA"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5A249E38"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9D6A2AF" w14:textId="77777777" w:rsidR="00E049BA" w:rsidRDefault="002C06ED">
            <w:pPr>
              <w:spacing w:beforeAutospacing="1" w:afterAutospacing="1"/>
              <w:jc w:val="right"/>
            </w:pPr>
            <w:r>
              <w:rPr>
                <w:rFonts w:ascii="Arial" w:hAnsi="Arial"/>
                <w:color w:val="000000"/>
                <w:sz w:val="16"/>
              </w:rPr>
              <w:t xml:space="preserve"> </w:t>
            </w:r>
          </w:p>
        </w:tc>
      </w:tr>
      <w:tr w:rsidR="00E049BA" w14:paraId="56A4BA06" w14:textId="77777777">
        <w:trPr>
          <w:cantSplit/>
        </w:trPr>
        <w:tc>
          <w:tcPr>
            <w:tcW w:w="5490" w:type="dxa"/>
            <w:vAlign w:val="center"/>
          </w:tcPr>
          <w:p w14:paraId="1322E2F7" w14:textId="77777777" w:rsidR="00E049BA" w:rsidRDefault="002C06ED">
            <w:pPr>
              <w:spacing w:beforeAutospacing="1" w:afterAutospacing="1"/>
            </w:pPr>
            <w:r>
              <w:rPr>
                <w:rFonts w:ascii="Arial" w:hAnsi="Arial"/>
                <w:color w:val="25396E"/>
                <w:sz w:val="16"/>
              </w:rPr>
              <w:t>Outreach efforts to identify and secure bids from Section 3 business concerns.</w:t>
            </w:r>
          </w:p>
        </w:tc>
        <w:tc>
          <w:tcPr>
            <w:tcW w:w="810" w:type="dxa"/>
            <w:vAlign w:val="center"/>
          </w:tcPr>
          <w:p w14:paraId="3C69E477"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456E6EB0"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8993E63"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69FB3DB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67CA3CC" w14:textId="77777777" w:rsidR="00E049BA" w:rsidRDefault="002C06ED">
            <w:pPr>
              <w:spacing w:beforeAutospacing="1" w:afterAutospacing="1"/>
              <w:jc w:val="right"/>
            </w:pPr>
            <w:r>
              <w:rPr>
                <w:rFonts w:ascii="Arial" w:hAnsi="Arial"/>
                <w:color w:val="000000"/>
                <w:sz w:val="16"/>
              </w:rPr>
              <w:t xml:space="preserve"> </w:t>
            </w:r>
          </w:p>
        </w:tc>
      </w:tr>
      <w:tr w:rsidR="00E049BA" w14:paraId="771694A7" w14:textId="77777777">
        <w:trPr>
          <w:cantSplit/>
        </w:trPr>
        <w:tc>
          <w:tcPr>
            <w:tcW w:w="5490" w:type="dxa"/>
            <w:vAlign w:val="center"/>
          </w:tcPr>
          <w:p w14:paraId="08816E1F" w14:textId="77777777" w:rsidR="00E049BA" w:rsidRDefault="002C06ED">
            <w:pPr>
              <w:spacing w:beforeAutospacing="1" w:afterAutospacing="1"/>
            </w:pPr>
            <w:r>
              <w:rPr>
                <w:rFonts w:ascii="Arial" w:hAnsi="Arial"/>
                <w:color w:val="25396E"/>
                <w:sz w:val="16"/>
              </w:rPr>
              <w:t>Technical assistance to help Section 3 business concerns understand and bid on contracts.</w:t>
            </w:r>
          </w:p>
        </w:tc>
        <w:tc>
          <w:tcPr>
            <w:tcW w:w="810" w:type="dxa"/>
            <w:vAlign w:val="center"/>
          </w:tcPr>
          <w:p w14:paraId="686A4AFD"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50CBC0CC"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3B039BC"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0AA3C328"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782918C" w14:textId="77777777" w:rsidR="00E049BA" w:rsidRDefault="002C06ED">
            <w:pPr>
              <w:spacing w:beforeAutospacing="1" w:afterAutospacing="1"/>
              <w:jc w:val="right"/>
            </w:pPr>
            <w:r>
              <w:rPr>
                <w:rFonts w:ascii="Arial" w:hAnsi="Arial"/>
                <w:color w:val="000000"/>
                <w:sz w:val="16"/>
              </w:rPr>
              <w:t xml:space="preserve"> </w:t>
            </w:r>
          </w:p>
        </w:tc>
      </w:tr>
      <w:tr w:rsidR="00E049BA" w14:paraId="0C33368B" w14:textId="77777777">
        <w:trPr>
          <w:cantSplit/>
        </w:trPr>
        <w:tc>
          <w:tcPr>
            <w:tcW w:w="5490" w:type="dxa"/>
            <w:vAlign w:val="center"/>
          </w:tcPr>
          <w:p w14:paraId="3851C0FB" w14:textId="77777777" w:rsidR="00E049BA" w:rsidRDefault="002C06ED">
            <w:pPr>
              <w:spacing w:beforeAutospacing="1" w:afterAutospacing="1"/>
            </w:pPr>
            <w:r>
              <w:rPr>
                <w:rFonts w:ascii="Arial" w:hAnsi="Arial"/>
                <w:color w:val="25396E"/>
                <w:sz w:val="16"/>
              </w:rPr>
              <w:t>Division of contracts into smaller jobs to facilitate participation by Section 3 business concerns.</w:t>
            </w:r>
          </w:p>
        </w:tc>
        <w:tc>
          <w:tcPr>
            <w:tcW w:w="810" w:type="dxa"/>
            <w:vAlign w:val="center"/>
          </w:tcPr>
          <w:p w14:paraId="33652FD5"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4BE8BF44"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AFE7915"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4F77EB40"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688E12C" w14:textId="77777777" w:rsidR="00E049BA" w:rsidRDefault="002C06ED">
            <w:pPr>
              <w:spacing w:beforeAutospacing="1" w:afterAutospacing="1"/>
              <w:jc w:val="right"/>
            </w:pPr>
            <w:r>
              <w:rPr>
                <w:rFonts w:ascii="Arial" w:hAnsi="Arial"/>
                <w:color w:val="000000"/>
                <w:sz w:val="16"/>
              </w:rPr>
              <w:t xml:space="preserve"> </w:t>
            </w:r>
          </w:p>
        </w:tc>
      </w:tr>
      <w:tr w:rsidR="00E049BA" w14:paraId="0D64B4CC" w14:textId="77777777">
        <w:trPr>
          <w:cantSplit/>
        </w:trPr>
        <w:tc>
          <w:tcPr>
            <w:tcW w:w="5490" w:type="dxa"/>
            <w:vAlign w:val="center"/>
          </w:tcPr>
          <w:p w14:paraId="23C03901" w14:textId="77777777" w:rsidR="00E049BA" w:rsidRDefault="002C06ED">
            <w:pPr>
              <w:spacing w:beforeAutospacing="1" w:afterAutospacing="1"/>
            </w:pPr>
            <w:r>
              <w:rPr>
                <w:rFonts w:ascii="Arial" w:hAnsi="Arial"/>
                <w:color w:val="25396E"/>
                <w:sz w:val="16"/>
              </w:rPr>
              <w:t xml:space="preserve">Provided or connected residents with assistance in seeking employment </w:t>
            </w:r>
            <w:proofErr w:type="gramStart"/>
            <w:r>
              <w:rPr>
                <w:rFonts w:ascii="Arial" w:hAnsi="Arial"/>
                <w:color w:val="25396E"/>
                <w:sz w:val="16"/>
              </w:rPr>
              <w:t>including:</w:t>
            </w:r>
            <w:proofErr w:type="gramEnd"/>
            <w:r>
              <w:rPr>
                <w:rFonts w:ascii="Arial" w:hAnsi="Arial"/>
                <w:color w:val="25396E"/>
                <w:sz w:val="16"/>
              </w:rPr>
              <w:t xml:space="preserve"> drafting </w:t>
            </w:r>
            <w:proofErr w:type="spellStart"/>
            <w:proofErr w:type="gramStart"/>
            <w:r>
              <w:rPr>
                <w:rFonts w:ascii="Arial" w:hAnsi="Arial"/>
                <w:color w:val="25396E"/>
                <w:sz w:val="16"/>
              </w:rPr>
              <w:t>resumes,preparing</w:t>
            </w:r>
            <w:proofErr w:type="spellEnd"/>
            <w:proofErr w:type="gramEnd"/>
            <w:r>
              <w:rPr>
                <w:rFonts w:ascii="Arial" w:hAnsi="Arial"/>
                <w:color w:val="25396E"/>
                <w:sz w:val="16"/>
              </w:rPr>
              <w:t xml:space="preserve"> for interviews, finding job opportunities</w:t>
            </w:r>
            <w:proofErr w:type="gramStart"/>
            <w:r>
              <w:rPr>
                <w:rFonts w:ascii="Arial" w:hAnsi="Arial"/>
                <w:color w:val="25396E"/>
                <w:sz w:val="16"/>
              </w:rPr>
              <w:t>, connecting</w:t>
            </w:r>
            <w:proofErr w:type="gramEnd"/>
            <w:r>
              <w:rPr>
                <w:rFonts w:ascii="Arial" w:hAnsi="Arial"/>
                <w:color w:val="25396E"/>
                <w:sz w:val="16"/>
              </w:rPr>
              <w:t xml:space="preserve"> residents to job placement services.</w:t>
            </w:r>
          </w:p>
        </w:tc>
        <w:tc>
          <w:tcPr>
            <w:tcW w:w="810" w:type="dxa"/>
            <w:vAlign w:val="center"/>
          </w:tcPr>
          <w:p w14:paraId="2057B248"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5F5F429B"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48B14F7"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46B02DB5"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FD65AC2" w14:textId="77777777" w:rsidR="00E049BA" w:rsidRDefault="002C06ED">
            <w:pPr>
              <w:spacing w:beforeAutospacing="1" w:afterAutospacing="1"/>
              <w:jc w:val="right"/>
            </w:pPr>
            <w:r>
              <w:rPr>
                <w:rFonts w:ascii="Arial" w:hAnsi="Arial"/>
                <w:color w:val="000000"/>
                <w:sz w:val="16"/>
              </w:rPr>
              <w:t xml:space="preserve"> </w:t>
            </w:r>
          </w:p>
        </w:tc>
      </w:tr>
      <w:tr w:rsidR="00E049BA" w14:paraId="20413CE0" w14:textId="77777777">
        <w:trPr>
          <w:cantSplit/>
        </w:trPr>
        <w:tc>
          <w:tcPr>
            <w:tcW w:w="5490" w:type="dxa"/>
            <w:vAlign w:val="center"/>
          </w:tcPr>
          <w:p w14:paraId="6B78B45F" w14:textId="77777777" w:rsidR="00E049BA" w:rsidRDefault="002C06ED">
            <w:pPr>
              <w:spacing w:beforeAutospacing="1" w:afterAutospacing="1"/>
            </w:pPr>
            <w:r>
              <w:rPr>
                <w:rFonts w:ascii="Arial" w:hAnsi="Arial"/>
                <w:color w:val="25396E"/>
                <w:sz w:val="16"/>
              </w:rPr>
              <w:t>Held one or more job fairs.</w:t>
            </w:r>
          </w:p>
        </w:tc>
        <w:tc>
          <w:tcPr>
            <w:tcW w:w="810" w:type="dxa"/>
            <w:vAlign w:val="center"/>
          </w:tcPr>
          <w:p w14:paraId="10AC9E8B"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494B020D"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5D9A9878"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0ED81514"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2AD5FCF" w14:textId="77777777" w:rsidR="00E049BA" w:rsidRDefault="002C06ED">
            <w:pPr>
              <w:spacing w:beforeAutospacing="1" w:afterAutospacing="1"/>
              <w:jc w:val="right"/>
            </w:pPr>
            <w:r>
              <w:rPr>
                <w:rFonts w:ascii="Arial" w:hAnsi="Arial"/>
                <w:color w:val="000000"/>
                <w:sz w:val="16"/>
              </w:rPr>
              <w:t xml:space="preserve"> </w:t>
            </w:r>
          </w:p>
        </w:tc>
      </w:tr>
      <w:tr w:rsidR="00E049BA" w14:paraId="2E404666" w14:textId="77777777">
        <w:trPr>
          <w:cantSplit/>
        </w:trPr>
        <w:tc>
          <w:tcPr>
            <w:tcW w:w="5490" w:type="dxa"/>
            <w:vAlign w:val="center"/>
          </w:tcPr>
          <w:p w14:paraId="01C92B74" w14:textId="77777777" w:rsidR="00E049BA" w:rsidRDefault="002C06ED">
            <w:pPr>
              <w:spacing w:beforeAutospacing="1" w:afterAutospacing="1"/>
            </w:pPr>
            <w:r>
              <w:rPr>
                <w:rFonts w:ascii="Arial" w:hAnsi="Arial"/>
                <w:color w:val="25396E"/>
                <w:sz w:val="16"/>
              </w:rPr>
              <w:t>Provided or connected residents with supportive services that can provide direct services or referrals.</w:t>
            </w:r>
          </w:p>
        </w:tc>
        <w:tc>
          <w:tcPr>
            <w:tcW w:w="810" w:type="dxa"/>
            <w:vAlign w:val="center"/>
          </w:tcPr>
          <w:p w14:paraId="1D94BEF5"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E6E9139"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22C62ED8"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27FFE71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F522ACA" w14:textId="77777777" w:rsidR="00E049BA" w:rsidRDefault="002C06ED">
            <w:pPr>
              <w:spacing w:beforeAutospacing="1" w:afterAutospacing="1"/>
              <w:jc w:val="right"/>
            </w:pPr>
            <w:r>
              <w:rPr>
                <w:rFonts w:ascii="Arial" w:hAnsi="Arial"/>
                <w:color w:val="000000"/>
                <w:sz w:val="16"/>
              </w:rPr>
              <w:t xml:space="preserve"> </w:t>
            </w:r>
          </w:p>
        </w:tc>
      </w:tr>
      <w:tr w:rsidR="00E049BA" w14:paraId="4F6DC2FB" w14:textId="77777777">
        <w:trPr>
          <w:cantSplit/>
        </w:trPr>
        <w:tc>
          <w:tcPr>
            <w:tcW w:w="5490" w:type="dxa"/>
            <w:vAlign w:val="center"/>
          </w:tcPr>
          <w:p w14:paraId="72D987AD" w14:textId="77777777" w:rsidR="00E049BA" w:rsidRDefault="002C06ED">
            <w:pPr>
              <w:spacing w:beforeAutospacing="1" w:afterAutospacing="1"/>
            </w:pPr>
            <w:r>
              <w:rPr>
                <w:rFonts w:ascii="Arial" w:hAnsi="Arial"/>
                <w:color w:val="25396E"/>
                <w:sz w:val="16"/>
              </w:rPr>
              <w:t>Provided or connected residents with supportive services that provide one or more of the following: work readiness health screenings, interview clothing, uniforms, test fees, transportation.</w:t>
            </w:r>
          </w:p>
        </w:tc>
        <w:tc>
          <w:tcPr>
            <w:tcW w:w="810" w:type="dxa"/>
            <w:vAlign w:val="center"/>
          </w:tcPr>
          <w:p w14:paraId="1E36E2C6"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3AA68133"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20B74F01"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335EAC29"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51FF6FB8" w14:textId="77777777" w:rsidR="00E049BA" w:rsidRDefault="002C06ED">
            <w:pPr>
              <w:spacing w:beforeAutospacing="1" w:afterAutospacing="1"/>
              <w:jc w:val="right"/>
            </w:pPr>
            <w:r>
              <w:rPr>
                <w:rFonts w:ascii="Arial" w:hAnsi="Arial"/>
                <w:color w:val="000000"/>
                <w:sz w:val="16"/>
              </w:rPr>
              <w:t xml:space="preserve"> </w:t>
            </w:r>
          </w:p>
        </w:tc>
      </w:tr>
      <w:tr w:rsidR="00E049BA" w14:paraId="014F6020" w14:textId="77777777">
        <w:trPr>
          <w:cantSplit/>
        </w:trPr>
        <w:tc>
          <w:tcPr>
            <w:tcW w:w="5490" w:type="dxa"/>
            <w:vAlign w:val="center"/>
          </w:tcPr>
          <w:p w14:paraId="40DDE88E" w14:textId="77777777" w:rsidR="00E049BA" w:rsidRDefault="002C06ED">
            <w:pPr>
              <w:spacing w:beforeAutospacing="1" w:afterAutospacing="1"/>
            </w:pPr>
            <w:r>
              <w:rPr>
                <w:rFonts w:ascii="Arial" w:hAnsi="Arial"/>
                <w:color w:val="25396E"/>
                <w:sz w:val="16"/>
              </w:rPr>
              <w:t xml:space="preserve">Assisted residents with finding </w:t>
            </w:r>
            <w:proofErr w:type="gramStart"/>
            <w:r>
              <w:rPr>
                <w:rFonts w:ascii="Arial" w:hAnsi="Arial"/>
                <w:color w:val="25396E"/>
                <w:sz w:val="16"/>
              </w:rPr>
              <w:t>child care</w:t>
            </w:r>
            <w:proofErr w:type="gramEnd"/>
            <w:r>
              <w:rPr>
                <w:rFonts w:ascii="Arial" w:hAnsi="Arial"/>
                <w:color w:val="25396E"/>
                <w:sz w:val="16"/>
              </w:rPr>
              <w:t>.</w:t>
            </w:r>
          </w:p>
        </w:tc>
        <w:tc>
          <w:tcPr>
            <w:tcW w:w="810" w:type="dxa"/>
            <w:vAlign w:val="center"/>
          </w:tcPr>
          <w:p w14:paraId="1C2F7378"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36D7AF0"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7A1239CD"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28406DE7"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AC4F748" w14:textId="77777777" w:rsidR="00E049BA" w:rsidRDefault="002C06ED">
            <w:pPr>
              <w:spacing w:beforeAutospacing="1" w:afterAutospacing="1"/>
              <w:jc w:val="right"/>
            </w:pPr>
            <w:r>
              <w:rPr>
                <w:rFonts w:ascii="Arial" w:hAnsi="Arial"/>
                <w:color w:val="000000"/>
                <w:sz w:val="16"/>
              </w:rPr>
              <w:t xml:space="preserve"> </w:t>
            </w:r>
          </w:p>
        </w:tc>
      </w:tr>
      <w:tr w:rsidR="00E049BA" w14:paraId="264F82A1" w14:textId="77777777">
        <w:trPr>
          <w:cantSplit/>
        </w:trPr>
        <w:tc>
          <w:tcPr>
            <w:tcW w:w="5490" w:type="dxa"/>
            <w:vAlign w:val="center"/>
          </w:tcPr>
          <w:p w14:paraId="5D274C5E" w14:textId="77777777" w:rsidR="00E049BA" w:rsidRDefault="002C06ED">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community college or a </w:t>
            </w:r>
            <w:proofErr w:type="gramStart"/>
            <w:r>
              <w:rPr>
                <w:rFonts w:ascii="Arial" w:hAnsi="Arial"/>
                <w:color w:val="25396E"/>
                <w:sz w:val="16"/>
              </w:rPr>
              <w:t>four year</w:t>
            </w:r>
            <w:proofErr w:type="gramEnd"/>
            <w:r>
              <w:rPr>
                <w:rFonts w:ascii="Arial" w:hAnsi="Arial"/>
                <w:color w:val="25396E"/>
                <w:sz w:val="16"/>
              </w:rPr>
              <w:t xml:space="preserve"> educational institution.</w:t>
            </w:r>
          </w:p>
        </w:tc>
        <w:tc>
          <w:tcPr>
            <w:tcW w:w="810" w:type="dxa"/>
            <w:vAlign w:val="center"/>
          </w:tcPr>
          <w:p w14:paraId="47A99A73" w14:textId="77777777" w:rsidR="00E049BA" w:rsidRDefault="002C06ED">
            <w:pPr>
              <w:spacing w:beforeAutospacing="1" w:afterAutospacing="1"/>
              <w:jc w:val="right"/>
            </w:pPr>
            <w:r>
              <w:rPr>
                <w:rFonts w:ascii="Arial" w:hAnsi="Arial"/>
                <w:color w:val="000000"/>
                <w:sz w:val="16"/>
              </w:rPr>
              <w:t>6</w:t>
            </w:r>
          </w:p>
        </w:tc>
        <w:tc>
          <w:tcPr>
            <w:tcW w:w="900" w:type="dxa"/>
            <w:vAlign w:val="center"/>
          </w:tcPr>
          <w:p w14:paraId="50970D16"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DDDE0A1"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53FF5FF2"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0710B07E" w14:textId="77777777" w:rsidR="00E049BA" w:rsidRDefault="002C06ED">
            <w:pPr>
              <w:spacing w:beforeAutospacing="1" w:afterAutospacing="1"/>
              <w:jc w:val="right"/>
            </w:pPr>
            <w:r>
              <w:rPr>
                <w:rFonts w:ascii="Arial" w:hAnsi="Arial"/>
                <w:color w:val="000000"/>
                <w:sz w:val="16"/>
              </w:rPr>
              <w:t xml:space="preserve"> </w:t>
            </w:r>
          </w:p>
        </w:tc>
      </w:tr>
      <w:tr w:rsidR="00E049BA" w14:paraId="25703759" w14:textId="77777777">
        <w:trPr>
          <w:cantSplit/>
        </w:trPr>
        <w:tc>
          <w:tcPr>
            <w:tcW w:w="5490" w:type="dxa"/>
            <w:vAlign w:val="center"/>
          </w:tcPr>
          <w:p w14:paraId="53531E73" w14:textId="77777777" w:rsidR="00E049BA" w:rsidRDefault="002C06ED">
            <w:pPr>
              <w:spacing w:beforeAutospacing="1" w:afterAutospacing="1"/>
            </w:pPr>
            <w:r>
              <w:rPr>
                <w:rFonts w:ascii="Arial" w:hAnsi="Arial"/>
                <w:color w:val="25396E"/>
                <w:sz w:val="16"/>
              </w:rPr>
              <w:t xml:space="preserve">Assisted residents to apply </w:t>
            </w:r>
            <w:proofErr w:type="gramStart"/>
            <w:r>
              <w:rPr>
                <w:rFonts w:ascii="Arial" w:hAnsi="Arial"/>
                <w:color w:val="25396E"/>
                <w:sz w:val="16"/>
              </w:rPr>
              <w:t>for, or</w:t>
            </w:r>
            <w:proofErr w:type="gramEnd"/>
            <w:r>
              <w:rPr>
                <w:rFonts w:ascii="Arial" w:hAnsi="Arial"/>
                <w:color w:val="25396E"/>
                <w:sz w:val="16"/>
              </w:rPr>
              <w:t xml:space="preserve"> attend vocational/technical training.</w:t>
            </w:r>
          </w:p>
        </w:tc>
        <w:tc>
          <w:tcPr>
            <w:tcW w:w="810" w:type="dxa"/>
            <w:vAlign w:val="center"/>
          </w:tcPr>
          <w:p w14:paraId="36C3F1F4"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1625DEC2"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5DF6608"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265A2B88"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C44C616" w14:textId="77777777" w:rsidR="00E049BA" w:rsidRDefault="002C06ED">
            <w:pPr>
              <w:spacing w:beforeAutospacing="1" w:afterAutospacing="1"/>
              <w:jc w:val="right"/>
            </w:pPr>
            <w:r>
              <w:rPr>
                <w:rFonts w:ascii="Arial" w:hAnsi="Arial"/>
                <w:color w:val="000000"/>
                <w:sz w:val="16"/>
              </w:rPr>
              <w:t xml:space="preserve"> </w:t>
            </w:r>
          </w:p>
        </w:tc>
      </w:tr>
      <w:tr w:rsidR="00E049BA" w14:paraId="5C6B2A4F" w14:textId="77777777">
        <w:trPr>
          <w:cantSplit/>
        </w:trPr>
        <w:tc>
          <w:tcPr>
            <w:tcW w:w="5490" w:type="dxa"/>
            <w:vAlign w:val="center"/>
          </w:tcPr>
          <w:p w14:paraId="5D0826D3" w14:textId="77777777" w:rsidR="00E049BA" w:rsidRDefault="002C06ED">
            <w:pPr>
              <w:spacing w:beforeAutospacing="1" w:afterAutospacing="1"/>
            </w:pPr>
            <w:r>
              <w:rPr>
                <w:rFonts w:ascii="Arial" w:hAnsi="Arial"/>
                <w:color w:val="25396E"/>
                <w:sz w:val="16"/>
              </w:rPr>
              <w:t>Assisted residents to obtain financial literacy training and/or coaching.</w:t>
            </w:r>
          </w:p>
        </w:tc>
        <w:tc>
          <w:tcPr>
            <w:tcW w:w="810" w:type="dxa"/>
            <w:vAlign w:val="center"/>
          </w:tcPr>
          <w:p w14:paraId="1CC65029"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7EFDF0C2"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F0A47B2"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786D765D"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1A62D3FC" w14:textId="77777777" w:rsidR="00E049BA" w:rsidRDefault="002C06ED">
            <w:pPr>
              <w:spacing w:beforeAutospacing="1" w:afterAutospacing="1"/>
              <w:jc w:val="right"/>
            </w:pPr>
            <w:r>
              <w:rPr>
                <w:rFonts w:ascii="Arial" w:hAnsi="Arial"/>
                <w:color w:val="000000"/>
                <w:sz w:val="16"/>
              </w:rPr>
              <w:t xml:space="preserve"> </w:t>
            </w:r>
          </w:p>
        </w:tc>
      </w:tr>
      <w:tr w:rsidR="00E049BA" w14:paraId="7A4EAF2D" w14:textId="77777777">
        <w:trPr>
          <w:cantSplit/>
        </w:trPr>
        <w:tc>
          <w:tcPr>
            <w:tcW w:w="5490" w:type="dxa"/>
            <w:vAlign w:val="center"/>
          </w:tcPr>
          <w:p w14:paraId="164308A5" w14:textId="77777777" w:rsidR="00E049BA" w:rsidRDefault="002C06ED">
            <w:pPr>
              <w:spacing w:beforeAutospacing="1" w:afterAutospacing="1"/>
            </w:pPr>
            <w:r>
              <w:rPr>
                <w:rFonts w:ascii="Arial" w:hAnsi="Arial"/>
                <w:color w:val="25396E"/>
                <w:sz w:val="16"/>
              </w:rPr>
              <w:t>Bonding assistance, guaranties, or other efforts to support viable bids from Section 3 business concerns.</w:t>
            </w:r>
          </w:p>
        </w:tc>
        <w:tc>
          <w:tcPr>
            <w:tcW w:w="810" w:type="dxa"/>
            <w:vAlign w:val="center"/>
          </w:tcPr>
          <w:p w14:paraId="24AF63A8"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778EE2F8"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FA6341D"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662A054A"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7519D008" w14:textId="77777777" w:rsidR="00E049BA" w:rsidRDefault="002C06ED">
            <w:pPr>
              <w:spacing w:beforeAutospacing="1" w:afterAutospacing="1"/>
              <w:jc w:val="right"/>
            </w:pPr>
            <w:r>
              <w:rPr>
                <w:rFonts w:ascii="Arial" w:hAnsi="Arial"/>
                <w:color w:val="000000"/>
                <w:sz w:val="16"/>
              </w:rPr>
              <w:t xml:space="preserve"> </w:t>
            </w:r>
          </w:p>
        </w:tc>
      </w:tr>
      <w:tr w:rsidR="00E049BA" w14:paraId="7FCD284A" w14:textId="77777777">
        <w:trPr>
          <w:cantSplit/>
        </w:trPr>
        <w:tc>
          <w:tcPr>
            <w:tcW w:w="5490" w:type="dxa"/>
            <w:vAlign w:val="center"/>
          </w:tcPr>
          <w:p w14:paraId="37A33D52" w14:textId="77777777" w:rsidR="00E049BA" w:rsidRDefault="002C06ED">
            <w:pPr>
              <w:spacing w:beforeAutospacing="1" w:afterAutospacing="1"/>
            </w:pPr>
            <w:r>
              <w:rPr>
                <w:rFonts w:ascii="Arial" w:hAnsi="Arial"/>
                <w:color w:val="25396E"/>
                <w:sz w:val="16"/>
              </w:rPr>
              <w:t>Provided or connected residents with training on computer use or online technologies.</w:t>
            </w:r>
          </w:p>
        </w:tc>
        <w:tc>
          <w:tcPr>
            <w:tcW w:w="810" w:type="dxa"/>
            <w:vAlign w:val="center"/>
          </w:tcPr>
          <w:p w14:paraId="0C7442E4"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6336DEF8"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B14CE7F"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7842C862"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50E472C" w14:textId="77777777" w:rsidR="00E049BA" w:rsidRDefault="002C06ED">
            <w:pPr>
              <w:spacing w:beforeAutospacing="1" w:afterAutospacing="1"/>
              <w:jc w:val="right"/>
            </w:pPr>
            <w:r>
              <w:rPr>
                <w:rFonts w:ascii="Arial" w:hAnsi="Arial"/>
                <w:color w:val="000000"/>
                <w:sz w:val="16"/>
              </w:rPr>
              <w:t xml:space="preserve"> </w:t>
            </w:r>
          </w:p>
        </w:tc>
      </w:tr>
      <w:tr w:rsidR="00E049BA" w14:paraId="0FE50A28" w14:textId="77777777">
        <w:trPr>
          <w:cantSplit/>
        </w:trPr>
        <w:tc>
          <w:tcPr>
            <w:tcW w:w="5490" w:type="dxa"/>
            <w:vAlign w:val="center"/>
          </w:tcPr>
          <w:p w14:paraId="7C8F9FC2" w14:textId="77777777" w:rsidR="00E049BA" w:rsidRDefault="002C06ED">
            <w:pPr>
              <w:spacing w:beforeAutospacing="1" w:afterAutospacing="1"/>
            </w:pPr>
            <w:r>
              <w:rPr>
                <w:rFonts w:ascii="Arial" w:hAnsi="Arial"/>
                <w:color w:val="25396E"/>
                <w:sz w:val="16"/>
              </w:rPr>
              <w:t>Promoting the use of a business registry designed to create opportunities for disadvantaged and small businesses.</w:t>
            </w:r>
          </w:p>
        </w:tc>
        <w:tc>
          <w:tcPr>
            <w:tcW w:w="810" w:type="dxa"/>
            <w:vAlign w:val="center"/>
          </w:tcPr>
          <w:p w14:paraId="2CF0BF80"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2AEF6C3D"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3E1838BA"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424505DF"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CFF0EBB" w14:textId="77777777" w:rsidR="00E049BA" w:rsidRDefault="002C06ED">
            <w:pPr>
              <w:spacing w:beforeAutospacing="1" w:afterAutospacing="1"/>
              <w:jc w:val="right"/>
            </w:pPr>
            <w:r>
              <w:rPr>
                <w:rFonts w:ascii="Arial" w:hAnsi="Arial"/>
                <w:color w:val="000000"/>
                <w:sz w:val="16"/>
              </w:rPr>
              <w:t xml:space="preserve"> </w:t>
            </w:r>
          </w:p>
        </w:tc>
      </w:tr>
      <w:tr w:rsidR="00E049BA" w14:paraId="244FCBD6" w14:textId="77777777">
        <w:trPr>
          <w:cantSplit/>
        </w:trPr>
        <w:tc>
          <w:tcPr>
            <w:tcW w:w="5490" w:type="dxa"/>
            <w:vAlign w:val="center"/>
          </w:tcPr>
          <w:p w14:paraId="60C35B80" w14:textId="77777777" w:rsidR="00E049BA" w:rsidRDefault="002C06ED">
            <w:pPr>
              <w:spacing w:beforeAutospacing="1" w:afterAutospacing="1"/>
            </w:pPr>
            <w:r>
              <w:rPr>
                <w:rFonts w:ascii="Arial" w:hAnsi="Arial"/>
                <w:color w:val="25396E"/>
                <w:sz w:val="16"/>
              </w:rPr>
              <w:t>Outreach, engagement, or referrals with the state one-stop system, as designed in Section 121(e)(2) of the Workforce Innovation and Opportunity Act.</w:t>
            </w:r>
          </w:p>
        </w:tc>
        <w:tc>
          <w:tcPr>
            <w:tcW w:w="810" w:type="dxa"/>
            <w:vAlign w:val="center"/>
          </w:tcPr>
          <w:p w14:paraId="419A1577"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4F365983"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7314C3EA"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7EACD33A"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47305593" w14:textId="77777777" w:rsidR="00E049BA" w:rsidRDefault="002C06ED">
            <w:pPr>
              <w:spacing w:beforeAutospacing="1" w:afterAutospacing="1"/>
              <w:jc w:val="right"/>
            </w:pPr>
            <w:r>
              <w:rPr>
                <w:rFonts w:ascii="Arial" w:hAnsi="Arial"/>
                <w:color w:val="000000"/>
                <w:sz w:val="16"/>
              </w:rPr>
              <w:t xml:space="preserve"> </w:t>
            </w:r>
          </w:p>
        </w:tc>
      </w:tr>
      <w:tr w:rsidR="00E049BA" w14:paraId="29D5C62C" w14:textId="77777777">
        <w:trPr>
          <w:cantSplit/>
        </w:trPr>
        <w:tc>
          <w:tcPr>
            <w:tcW w:w="5490" w:type="dxa"/>
            <w:vAlign w:val="center"/>
          </w:tcPr>
          <w:p w14:paraId="244B85A5" w14:textId="77777777" w:rsidR="00E049BA" w:rsidRDefault="002C06ED">
            <w:pPr>
              <w:spacing w:beforeAutospacing="1" w:afterAutospacing="1"/>
            </w:pPr>
            <w:r>
              <w:rPr>
                <w:rFonts w:ascii="Arial" w:hAnsi="Arial"/>
                <w:color w:val="25396E"/>
                <w:sz w:val="16"/>
              </w:rPr>
              <w:lastRenderedPageBreak/>
              <w:t>Other.</w:t>
            </w:r>
          </w:p>
        </w:tc>
        <w:tc>
          <w:tcPr>
            <w:tcW w:w="810" w:type="dxa"/>
            <w:vAlign w:val="center"/>
          </w:tcPr>
          <w:p w14:paraId="0052C790" w14:textId="77777777" w:rsidR="00E049BA" w:rsidRDefault="002C06ED">
            <w:pPr>
              <w:spacing w:beforeAutospacing="1" w:afterAutospacing="1"/>
              <w:jc w:val="right"/>
            </w:pPr>
            <w:r>
              <w:rPr>
                <w:rFonts w:ascii="Arial" w:hAnsi="Arial"/>
                <w:color w:val="000000"/>
                <w:sz w:val="16"/>
              </w:rPr>
              <w:t>0</w:t>
            </w:r>
          </w:p>
        </w:tc>
        <w:tc>
          <w:tcPr>
            <w:tcW w:w="900" w:type="dxa"/>
            <w:vAlign w:val="center"/>
          </w:tcPr>
          <w:p w14:paraId="02BE90C5"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3C4848C" w14:textId="77777777" w:rsidR="00E049BA" w:rsidRDefault="002C06ED">
            <w:pPr>
              <w:spacing w:beforeAutospacing="1" w:afterAutospacing="1"/>
              <w:jc w:val="right"/>
            </w:pPr>
            <w:r>
              <w:rPr>
                <w:rFonts w:ascii="Arial" w:hAnsi="Arial"/>
                <w:color w:val="000000"/>
                <w:sz w:val="16"/>
              </w:rPr>
              <w:t xml:space="preserve"> </w:t>
            </w:r>
          </w:p>
        </w:tc>
        <w:tc>
          <w:tcPr>
            <w:tcW w:w="990" w:type="dxa"/>
            <w:vAlign w:val="center"/>
          </w:tcPr>
          <w:p w14:paraId="051DD2CE" w14:textId="77777777" w:rsidR="00E049BA" w:rsidRDefault="002C06ED">
            <w:pPr>
              <w:spacing w:beforeAutospacing="1" w:afterAutospacing="1"/>
              <w:jc w:val="right"/>
            </w:pPr>
            <w:r>
              <w:rPr>
                <w:rFonts w:ascii="Arial" w:hAnsi="Arial"/>
                <w:color w:val="000000"/>
                <w:sz w:val="16"/>
              </w:rPr>
              <w:t xml:space="preserve"> </w:t>
            </w:r>
          </w:p>
        </w:tc>
        <w:tc>
          <w:tcPr>
            <w:tcW w:w="720" w:type="dxa"/>
            <w:vAlign w:val="center"/>
          </w:tcPr>
          <w:p w14:paraId="642CE839" w14:textId="77777777" w:rsidR="00E049BA" w:rsidRDefault="002C06ED">
            <w:pPr>
              <w:spacing w:beforeAutospacing="1" w:afterAutospacing="1"/>
              <w:jc w:val="right"/>
            </w:pPr>
            <w:r>
              <w:rPr>
                <w:rFonts w:ascii="Arial" w:hAnsi="Arial"/>
                <w:color w:val="000000"/>
                <w:sz w:val="16"/>
              </w:rPr>
              <w:t xml:space="preserve"> </w:t>
            </w:r>
          </w:p>
        </w:tc>
      </w:tr>
    </w:tbl>
    <w:p w14:paraId="09205C4E" w14:textId="77777777" w:rsidR="00E049BA" w:rsidRDefault="002C06ED">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Qualitative Efforts - Number of Activities by Program</w:t>
      </w:r>
    </w:p>
    <w:p w14:paraId="3981D967" w14:textId="77777777" w:rsidR="00E049BA" w:rsidRDefault="00E049BA">
      <w:pPr>
        <w:widowControl w:val="0"/>
        <w:rPr>
          <w:b/>
          <w:sz w:val="24"/>
          <w:szCs w:val="24"/>
        </w:rPr>
      </w:pPr>
    </w:p>
    <w:p w14:paraId="457E1FAE" w14:textId="77777777" w:rsidR="00E049BA" w:rsidRDefault="002C06ED">
      <w:pPr>
        <w:widowControl w:val="0"/>
        <w:rPr>
          <w:b/>
          <w:sz w:val="24"/>
          <w:szCs w:val="24"/>
        </w:rPr>
      </w:pPr>
      <w:r>
        <w:rPr>
          <w:b/>
          <w:sz w:val="24"/>
          <w:szCs w:val="24"/>
        </w:rPr>
        <w:t>Narrative</w:t>
      </w:r>
    </w:p>
    <w:p w14:paraId="12923932" w14:textId="77777777" w:rsidR="00E049BA" w:rsidRDefault="002C06ED">
      <w:pPr>
        <w:widowControl w:val="0"/>
        <w:spacing w:beforeAutospacing="1" w:afterAutospacing="1"/>
        <w:rPr>
          <w:rFonts w:cs="Arial"/>
        </w:rPr>
      </w:pPr>
      <w:r>
        <w:rPr>
          <w:rFonts w:cs="Arial"/>
        </w:rPr>
        <w:t xml:space="preserve">The City made available CDBG funds for scholarship assistance for post-secondary education. During program year 2024, 6 </w:t>
      </w:r>
      <w:proofErr w:type="gramStart"/>
      <w:r>
        <w:rPr>
          <w:rFonts w:cs="Arial"/>
        </w:rPr>
        <w:t>students were assisted</w:t>
      </w:r>
      <w:proofErr w:type="gramEnd"/>
      <w:r>
        <w:rPr>
          <w:rFonts w:cs="Arial"/>
        </w:rPr>
        <w:t xml:space="preserve">. The </w:t>
      </w:r>
      <w:proofErr w:type="gramStart"/>
      <w:r>
        <w:rPr>
          <w:rFonts w:cs="Arial"/>
        </w:rPr>
        <w:t>City</w:t>
      </w:r>
      <w:proofErr w:type="gramEnd"/>
      <w:r>
        <w:rPr>
          <w:rFonts w:cs="Arial"/>
        </w:rPr>
        <w:t xml:space="preserve"> also participates in </w:t>
      </w:r>
      <w:proofErr w:type="spellStart"/>
      <w:r>
        <w:rPr>
          <w:rFonts w:cs="Arial"/>
        </w:rPr>
        <w:t>NetworkRI</w:t>
      </w:r>
      <w:proofErr w:type="spellEnd"/>
      <w:r>
        <w:rPr>
          <w:rFonts w:cs="Arial"/>
        </w:rPr>
        <w:t>, a one-stop system which helps applicants find employment or training for employment.</w:t>
      </w:r>
    </w:p>
    <w:p w14:paraId="0EA8E49F" w14:textId="77777777" w:rsidR="00E049BA" w:rsidRDefault="00E049BA"/>
    <w:sectPr w:rsidR="00E049B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9F51A" w14:textId="77777777" w:rsidR="00E049BA" w:rsidRDefault="002C06ED">
      <w:r>
        <w:separator/>
      </w:r>
    </w:p>
  </w:endnote>
  <w:endnote w:type="continuationSeparator" w:id="0">
    <w:p w14:paraId="1AB77BE0" w14:textId="77777777" w:rsidR="00E049BA" w:rsidRDefault="002C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1E0" w:firstRow="1" w:lastRow="1" w:firstColumn="1" w:lastColumn="1" w:noHBand="0" w:noVBand="0"/>
    </w:tblPr>
    <w:tblGrid>
      <w:gridCol w:w="828"/>
      <w:gridCol w:w="7976"/>
      <w:gridCol w:w="772"/>
    </w:tblGrid>
    <w:tr w:rsidR="00E049BA" w14:paraId="22935A7D" w14:textId="77777777">
      <w:trPr>
        <w:jc w:val="center"/>
      </w:trPr>
      <w:tc>
        <w:tcPr>
          <w:tcW w:w="828" w:type="dxa"/>
        </w:tcPr>
        <w:p w14:paraId="0D5D4A98" w14:textId="77777777" w:rsidR="00E049BA" w:rsidRDefault="00E049BA">
          <w:pPr>
            <w:pStyle w:val="Footer"/>
            <w:spacing w:after="0" w:line="240" w:lineRule="auto"/>
            <w:jc w:val="center"/>
          </w:pPr>
        </w:p>
      </w:tc>
      <w:tc>
        <w:tcPr>
          <w:tcW w:w="7976" w:type="dxa"/>
        </w:tcPr>
        <w:p w14:paraId="4F0372B9" w14:textId="77777777" w:rsidR="00E049BA" w:rsidRDefault="002C06ED">
          <w:pPr>
            <w:pStyle w:val="Footer"/>
            <w:spacing w:after="0" w:line="240" w:lineRule="auto"/>
            <w:jc w:val="center"/>
          </w:pPr>
          <w:r>
            <w:t>CAPER</w:t>
          </w:r>
        </w:p>
      </w:tc>
      <w:tc>
        <w:tcPr>
          <w:tcW w:w="772" w:type="dxa"/>
        </w:tcPr>
        <w:p w14:paraId="52550450" w14:textId="77777777" w:rsidR="00E049BA" w:rsidRDefault="002C06ED">
          <w:pPr>
            <w:pStyle w:val="Footer"/>
            <w:spacing w:after="0" w:line="240" w:lineRule="auto"/>
            <w:jc w:val="right"/>
          </w:pPr>
          <w:r>
            <w:fldChar w:fldCharType="begin"/>
          </w:r>
          <w:r>
            <w:instrText>page</w:instrText>
          </w:r>
          <w:r>
            <w:fldChar w:fldCharType="separate"/>
          </w:r>
          <w:r>
            <w:t>1</w:t>
          </w:r>
          <w:r>
            <w:fldChar w:fldCharType="end"/>
          </w:r>
        </w:p>
      </w:tc>
    </w:tr>
  </w:tbl>
  <w:p w14:paraId="0A0336B2" w14:textId="77777777" w:rsidR="00E049BA" w:rsidRDefault="002C06ED">
    <w:pPr>
      <w:pStyle w:val="Footer"/>
      <w:spacing w:before="120" w:after="0"/>
      <w:rPr>
        <w:rFonts w:asciiTheme="minorHAnsi" w:hAnsiTheme="minorHAnsi"/>
        <w:b/>
        <w:i/>
        <w:sz w:val="16"/>
      </w:rPr>
    </w:pPr>
    <w:r>
      <w:rPr>
        <w:rFonts w:asciiTheme="minorHAnsi" w:hAnsiTheme="minorHAnsi" w:cs="Arial"/>
        <w:color w:val="000000"/>
        <w:sz w:val="16"/>
      </w:rPr>
      <w:t>OMB Control No: 2506-0117 (exp. 09/30/2021)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8C98" w14:textId="77777777" w:rsidR="00E049BA" w:rsidRDefault="002C06ED">
      <w:r>
        <w:separator/>
      </w:r>
    </w:p>
  </w:footnote>
  <w:footnote w:type="continuationSeparator" w:id="0">
    <w:p w14:paraId="608DEE03" w14:textId="77777777" w:rsidR="00E049BA" w:rsidRDefault="002C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19A3E8F"/>
    <w:multiLevelType w:val="hybridMultilevel"/>
    <w:tmpl w:val="7702014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58CE2ACE"/>
    <w:multiLevelType w:val="hybridMultilevel"/>
    <w:tmpl w:val="D780CAE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593050867">
    <w:abstractNumId w:val="11"/>
  </w:num>
  <w:num w:numId="2" w16cid:durableId="692223537">
    <w:abstractNumId w:val="9"/>
  </w:num>
  <w:num w:numId="3" w16cid:durableId="794912770">
    <w:abstractNumId w:val="7"/>
  </w:num>
  <w:num w:numId="4" w16cid:durableId="1666930307">
    <w:abstractNumId w:val="6"/>
  </w:num>
  <w:num w:numId="5" w16cid:durableId="1458521766">
    <w:abstractNumId w:val="5"/>
  </w:num>
  <w:num w:numId="6" w16cid:durableId="1205606209">
    <w:abstractNumId w:val="4"/>
  </w:num>
  <w:num w:numId="7" w16cid:durableId="1180583069">
    <w:abstractNumId w:val="8"/>
  </w:num>
  <w:num w:numId="8" w16cid:durableId="414743520">
    <w:abstractNumId w:val="3"/>
  </w:num>
  <w:num w:numId="9" w16cid:durableId="900864628">
    <w:abstractNumId w:val="2"/>
  </w:num>
  <w:num w:numId="10" w16cid:durableId="1610504927">
    <w:abstractNumId w:val="1"/>
  </w:num>
  <w:num w:numId="11" w16cid:durableId="1604806383">
    <w:abstractNumId w:val="0"/>
  </w:num>
  <w:num w:numId="12" w16cid:durableId="1949116639">
    <w:abstractNumId w:val="10"/>
  </w:num>
  <w:num w:numId="13" w16cid:durableId="926038833">
    <w:abstractNumId w:val="15"/>
  </w:num>
  <w:num w:numId="14" w16cid:durableId="2005620603">
    <w:abstractNumId w:val="13"/>
  </w:num>
  <w:num w:numId="15" w16cid:durableId="869103829">
    <w:abstractNumId w:val="12"/>
  </w:num>
  <w:num w:numId="16" w16cid:durableId="1433478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550"/>
    <w:rsid w:val="00000EC6"/>
    <w:rsid w:val="00001671"/>
    <w:rsid w:val="0000299C"/>
    <w:rsid w:val="000035A3"/>
    <w:rsid w:val="00003E3A"/>
    <w:rsid w:val="00004F01"/>
    <w:rsid w:val="000055F1"/>
    <w:rsid w:val="00006999"/>
    <w:rsid w:val="00007A74"/>
    <w:rsid w:val="000101FE"/>
    <w:rsid w:val="000109A7"/>
    <w:rsid w:val="000116B2"/>
    <w:rsid w:val="00012E9D"/>
    <w:rsid w:val="00013481"/>
    <w:rsid w:val="000146AF"/>
    <w:rsid w:val="00014B5F"/>
    <w:rsid w:val="0001643E"/>
    <w:rsid w:val="0001694F"/>
    <w:rsid w:val="00017C8C"/>
    <w:rsid w:val="000202EB"/>
    <w:rsid w:val="000204C7"/>
    <w:rsid w:val="00022CF5"/>
    <w:rsid w:val="000237FC"/>
    <w:rsid w:val="000250A9"/>
    <w:rsid w:val="0002592E"/>
    <w:rsid w:val="00025951"/>
    <w:rsid w:val="00025DEC"/>
    <w:rsid w:val="00026149"/>
    <w:rsid w:val="00027899"/>
    <w:rsid w:val="00027FD4"/>
    <w:rsid w:val="00030C85"/>
    <w:rsid w:val="00031960"/>
    <w:rsid w:val="00032C1E"/>
    <w:rsid w:val="0003300B"/>
    <w:rsid w:val="0003316E"/>
    <w:rsid w:val="00033A35"/>
    <w:rsid w:val="0003459B"/>
    <w:rsid w:val="00035628"/>
    <w:rsid w:val="000357CA"/>
    <w:rsid w:val="00035F04"/>
    <w:rsid w:val="000365DA"/>
    <w:rsid w:val="00040E81"/>
    <w:rsid w:val="0004164B"/>
    <w:rsid w:val="00042C4D"/>
    <w:rsid w:val="0004355B"/>
    <w:rsid w:val="00043B67"/>
    <w:rsid w:val="00044565"/>
    <w:rsid w:val="00044EC9"/>
    <w:rsid w:val="00047DD2"/>
    <w:rsid w:val="00047E3E"/>
    <w:rsid w:val="0005057C"/>
    <w:rsid w:val="000518AA"/>
    <w:rsid w:val="00052543"/>
    <w:rsid w:val="0005399B"/>
    <w:rsid w:val="00053D85"/>
    <w:rsid w:val="00053E62"/>
    <w:rsid w:val="00054780"/>
    <w:rsid w:val="000549C7"/>
    <w:rsid w:val="00054D96"/>
    <w:rsid w:val="00056828"/>
    <w:rsid w:val="00057E29"/>
    <w:rsid w:val="00060CE4"/>
    <w:rsid w:val="00061845"/>
    <w:rsid w:val="00061B37"/>
    <w:rsid w:val="00061E41"/>
    <w:rsid w:val="000620FD"/>
    <w:rsid w:val="000623F4"/>
    <w:rsid w:val="00063F1C"/>
    <w:rsid w:val="00065D4E"/>
    <w:rsid w:val="000661A8"/>
    <w:rsid w:val="00066237"/>
    <w:rsid w:val="000670CF"/>
    <w:rsid w:val="00067FD4"/>
    <w:rsid w:val="00070633"/>
    <w:rsid w:val="00071C7C"/>
    <w:rsid w:val="00072C8A"/>
    <w:rsid w:val="00072F46"/>
    <w:rsid w:val="000734F6"/>
    <w:rsid w:val="00073E7A"/>
    <w:rsid w:val="00074919"/>
    <w:rsid w:val="00074DEF"/>
    <w:rsid w:val="0007533E"/>
    <w:rsid w:val="00075AB2"/>
    <w:rsid w:val="0007671E"/>
    <w:rsid w:val="00076CF5"/>
    <w:rsid w:val="00076D36"/>
    <w:rsid w:val="00077619"/>
    <w:rsid w:val="00077A7A"/>
    <w:rsid w:val="00077F16"/>
    <w:rsid w:val="00080209"/>
    <w:rsid w:val="0008068E"/>
    <w:rsid w:val="00080943"/>
    <w:rsid w:val="00080ECB"/>
    <w:rsid w:val="00080FA0"/>
    <w:rsid w:val="00081076"/>
    <w:rsid w:val="00081136"/>
    <w:rsid w:val="0008221D"/>
    <w:rsid w:val="0008229D"/>
    <w:rsid w:val="000825DF"/>
    <w:rsid w:val="0008289F"/>
    <w:rsid w:val="000831B8"/>
    <w:rsid w:val="000832B3"/>
    <w:rsid w:val="0008384E"/>
    <w:rsid w:val="00083952"/>
    <w:rsid w:val="00083B49"/>
    <w:rsid w:val="00083BEB"/>
    <w:rsid w:val="00084058"/>
    <w:rsid w:val="0008420F"/>
    <w:rsid w:val="00084385"/>
    <w:rsid w:val="00084E02"/>
    <w:rsid w:val="00085ECE"/>
    <w:rsid w:val="0008764E"/>
    <w:rsid w:val="00087BEC"/>
    <w:rsid w:val="00091139"/>
    <w:rsid w:val="000920F8"/>
    <w:rsid w:val="00092FA7"/>
    <w:rsid w:val="00093600"/>
    <w:rsid w:val="0009415B"/>
    <w:rsid w:val="0009419B"/>
    <w:rsid w:val="00094C65"/>
    <w:rsid w:val="00096632"/>
    <w:rsid w:val="00096BAB"/>
    <w:rsid w:val="00096FE3"/>
    <w:rsid w:val="000975D9"/>
    <w:rsid w:val="00097D73"/>
    <w:rsid w:val="000A22C7"/>
    <w:rsid w:val="000A3328"/>
    <w:rsid w:val="000A3869"/>
    <w:rsid w:val="000A3AF5"/>
    <w:rsid w:val="000A3DED"/>
    <w:rsid w:val="000A49C3"/>
    <w:rsid w:val="000A6604"/>
    <w:rsid w:val="000A7EAA"/>
    <w:rsid w:val="000A7EB6"/>
    <w:rsid w:val="000B0148"/>
    <w:rsid w:val="000B05D4"/>
    <w:rsid w:val="000B0735"/>
    <w:rsid w:val="000B1705"/>
    <w:rsid w:val="000B291F"/>
    <w:rsid w:val="000B3DD8"/>
    <w:rsid w:val="000B45BD"/>
    <w:rsid w:val="000B5D24"/>
    <w:rsid w:val="000B6036"/>
    <w:rsid w:val="000B6192"/>
    <w:rsid w:val="000B6842"/>
    <w:rsid w:val="000B7A3C"/>
    <w:rsid w:val="000C0752"/>
    <w:rsid w:val="000C0905"/>
    <w:rsid w:val="000C0B16"/>
    <w:rsid w:val="000C20FC"/>
    <w:rsid w:val="000C23F6"/>
    <w:rsid w:val="000C265E"/>
    <w:rsid w:val="000C3ACA"/>
    <w:rsid w:val="000C5AF9"/>
    <w:rsid w:val="000C666E"/>
    <w:rsid w:val="000C7403"/>
    <w:rsid w:val="000C74F3"/>
    <w:rsid w:val="000D01E0"/>
    <w:rsid w:val="000D14F6"/>
    <w:rsid w:val="000D1DC9"/>
    <w:rsid w:val="000D422A"/>
    <w:rsid w:val="000D488E"/>
    <w:rsid w:val="000D6A4D"/>
    <w:rsid w:val="000D6CFF"/>
    <w:rsid w:val="000D71A6"/>
    <w:rsid w:val="000D7D16"/>
    <w:rsid w:val="000E0343"/>
    <w:rsid w:val="000E0AAE"/>
    <w:rsid w:val="000E0D5D"/>
    <w:rsid w:val="000E13BA"/>
    <w:rsid w:val="000E1DFB"/>
    <w:rsid w:val="000E1F9B"/>
    <w:rsid w:val="000E2A69"/>
    <w:rsid w:val="000E2C4D"/>
    <w:rsid w:val="000E4A11"/>
    <w:rsid w:val="000E5032"/>
    <w:rsid w:val="000E53D6"/>
    <w:rsid w:val="000E5FBD"/>
    <w:rsid w:val="000E60F9"/>
    <w:rsid w:val="000E6121"/>
    <w:rsid w:val="000E640E"/>
    <w:rsid w:val="000E6B9A"/>
    <w:rsid w:val="000E6CB6"/>
    <w:rsid w:val="000F04AF"/>
    <w:rsid w:val="000F0F15"/>
    <w:rsid w:val="000F1426"/>
    <w:rsid w:val="000F21DE"/>
    <w:rsid w:val="000F503D"/>
    <w:rsid w:val="000F683C"/>
    <w:rsid w:val="000F6B53"/>
    <w:rsid w:val="001000D7"/>
    <w:rsid w:val="00101E3D"/>
    <w:rsid w:val="00102442"/>
    <w:rsid w:val="0010332E"/>
    <w:rsid w:val="00104032"/>
    <w:rsid w:val="0010487A"/>
    <w:rsid w:val="00106CAB"/>
    <w:rsid w:val="0010757C"/>
    <w:rsid w:val="001101BB"/>
    <w:rsid w:val="001105E4"/>
    <w:rsid w:val="00111CFD"/>
    <w:rsid w:val="00111DEA"/>
    <w:rsid w:val="00111F9F"/>
    <w:rsid w:val="001121F8"/>
    <w:rsid w:val="00112F30"/>
    <w:rsid w:val="0011341D"/>
    <w:rsid w:val="0011453E"/>
    <w:rsid w:val="00114CA6"/>
    <w:rsid w:val="00115066"/>
    <w:rsid w:val="00117AB9"/>
    <w:rsid w:val="00117CAF"/>
    <w:rsid w:val="00120904"/>
    <w:rsid w:val="00123B67"/>
    <w:rsid w:val="001244C5"/>
    <w:rsid w:val="00124E85"/>
    <w:rsid w:val="00125428"/>
    <w:rsid w:val="001256B0"/>
    <w:rsid w:val="00125FCA"/>
    <w:rsid w:val="00126022"/>
    <w:rsid w:val="001261A0"/>
    <w:rsid w:val="001274C4"/>
    <w:rsid w:val="00132B0C"/>
    <w:rsid w:val="00132CEA"/>
    <w:rsid w:val="00133EA4"/>
    <w:rsid w:val="00134B79"/>
    <w:rsid w:val="0013545A"/>
    <w:rsid w:val="00135B76"/>
    <w:rsid w:val="00135EA7"/>
    <w:rsid w:val="00136724"/>
    <w:rsid w:val="00137DF0"/>
    <w:rsid w:val="00141F8B"/>
    <w:rsid w:val="001426D3"/>
    <w:rsid w:val="001442FB"/>
    <w:rsid w:val="001452F7"/>
    <w:rsid w:val="0014572F"/>
    <w:rsid w:val="001460FB"/>
    <w:rsid w:val="00146B9A"/>
    <w:rsid w:val="0014790F"/>
    <w:rsid w:val="0015000D"/>
    <w:rsid w:val="00150082"/>
    <w:rsid w:val="001501DB"/>
    <w:rsid w:val="00150A50"/>
    <w:rsid w:val="00150B00"/>
    <w:rsid w:val="00151FDE"/>
    <w:rsid w:val="001539D4"/>
    <w:rsid w:val="0015548F"/>
    <w:rsid w:val="00156045"/>
    <w:rsid w:val="00156205"/>
    <w:rsid w:val="00157867"/>
    <w:rsid w:val="00157D8A"/>
    <w:rsid w:val="00157DD0"/>
    <w:rsid w:val="0016089C"/>
    <w:rsid w:val="00160AC1"/>
    <w:rsid w:val="00162077"/>
    <w:rsid w:val="0016267E"/>
    <w:rsid w:val="00162A99"/>
    <w:rsid w:val="00163BA8"/>
    <w:rsid w:val="00164969"/>
    <w:rsid w:val="001657BA"/>
    <w:rsid w:val="00165B3F"/>
    <w:rsid w:val="00166377"/>
    <w:rsid w:val="00166FC2"/>
    <w:rsid w:val="00167346"/>
    <w:rsid w:val="001703C2"/>
    <w:rsid w:val="001728FD"/>
    <w:rsid w:val="00172A41"/>
    <w:rsid w:val="00172D3C"/>
    <w:rsid w:val="00173660"/>
    <w:rsid w:val="0017391B"/>
    <w:rsid w:val="00173954"/>
    <w:rsid w:val="001748A8"/>
    <w:rsid w:val="00174E22"/>
    <w:rsid w:val="00174F62"/>
    <w:rsid w:val="00175A92"/>
    <w:rsid w:val="00176F2C"/>
    <w:rsid w:val="0017730C"/>
    <w:rsid w:val="00177DEF"/>
    <w:rsid w:val="00180218"/>
    <w:rsid w:val="00180753"/>
    <w:rsid w:val="00181247"/>
    <w:rsid w:val="00181253"/>
    <w:rsid w:val="00182552"/>
    <w:rsid w:val="00182A06"/>
    <w:rsid w:val="00183202"/>
    <w:rsid w:val="0018383F"/>
    <w:rsid w:val="0018415D"/>
    <w:rsid w:val="00184182"/>
    <w:rsid w:val="00184AE8"/>
    <w:rsid w:val="00184B4B"/>
    <w:rsid w:val="00184CFB"/>
    <w:rsid w:val="00184F71"/>
    <w:rsid w:val="00184F89"/>
    <w:rsid w:val="00186776"/>
    <w:rsid w:val="001876CD"/>
    <w:rsid w:val="00190078"/>
    <w:rsid w:val="00190429"/>
    <w:rsid w:val="00192527"/>
    <w:rsid w:val="00192E4D"/>
    <w:rsid w:val="00193AF0"/>
    <w:rsid w:val="0019437E"/>
    <w:rsid w:val="001949B1"/>
    <w:rsid w:val="00194CDA"/>
    <w:rsid w:val="00194DE6"/>
    <w:rsid w:val="001964F3"/>
    <w:rsid w:val="00197A7A"/>
    <w:rsid w:val="00197C72"/>
    <w:rsid w:val="001A0074"/>
    <w:rsid w:val="001A0F7B"/>
    <w:rsid w:val="001A1131"/>
    <w:rsid w:val="001A226D"/>
    <w:rsid w:val="001A44BB"/>
    <w:rsid w:val="001A4F93"/>
    <w:rsid w:val="001A6644"/>
    <w:rsid w:val="001A6F81"/>
    <w:rsid w:val="001A7613"/>
    <w:rsid w:val="001A7F28"/>
    <w:rsid w:val="001B0BA7"/>
    <w:rsid w:val="001B177E"/>
    <w:rsid w:val="001B469C"/>
    <w:rsid w:val="001B5AF8"/>
    <w:rsid w:val="001B64F7"/>
    <w:rsid w:val="001B6520"/>
    <w:rsid w:val="001B6936"/>
    <w:rsid w:val="001B75E2"/>
    <w:rsid w:val="001B7DB9"/>
    <w:rsid w:val="001C1880"/>
    <w:rsid w:val="001C1B65"/>
    <w:rsid w:val="001C2492"/>
    <w:rsid w:val="001C2692"/>
    <w:rsid w:val="001C38E2"/>
    <w:rsid w:val="001C3C19"/>
    <w:rsid w:val="001C3E92"/>
    <w:rsid w:val="001C4867"/>
    <w:rsid w:val="001C4EAB"/>
    <w:rsid w:val="001C516A"/>
    <w:rsid w:val="001C61C3"/>
    <w:rsid w:val="001C696A"/>
    <w:rsid w:val="001C6CFF"/>
    <w:rsid w:val="001C79ED"/>
    <w:rsid w:val="001D0384"/>
    <w:rsid w:val="001D20E3"/>
    <w:rsid w:val="001D285F"/>
    <w:rsid w:val="001D3A7D"/>
    <w:rsid w:val="001D4366"/>
    <w:rsid w:val="001D5457"/>
    <w:rsid w:val="001D68CD"/>
    <w:rsid w:val="001D6AF5"/>
    <w:rsid w:val="001D6ECF"/>
    <w:rsid w:val="001D7832"/>
    <w:rsid w:val="001D78ED"/>
    <w:rsid w:val="001D79E2"/>
    <w:rsid w:val="001E1072"/>
    <w:rsid w:val="001E2322"/>
    <w:rsid w:val="001E325A"/>
    <w:rsid w:val="001E3EA8"/>
    <w:rsid w:val="001E47F6"/>
    <w:rsid w:val="001E4C5B"/>
    <w:rsid w:val="001E4D04"/>
    <w:rsid w:val="001E551F"/>
    <w:rsid w:val="001E61D5"/>
    <w:rsid w:val="001E6312"/>
    <w:rsid w:val="001E6E6E"/>
    <w:rsid w:val="001E763D"/>
    <w:rsid w:val="001E7D42"/>
    <w:rsid w:val="001F0B25"/>
    <w:rsid w:val="001F1BE7"/>
    <w:rsid w:val="001F2FC4"/>
    <w:rsid w:val="001F3C7D"/>
    <w:rsid w:val="001F3CB4"/>
    <w:rsid w:val="001F68DE"/>
    <w:rsid w:val="001F753C"/>
    <w:rsid w:val="002028BF"/>
    <w:rsid w:val="00203C89"/>
    <w:rsid w:val="00204041"/>
    <w:rsid w:val="00204CFE"/>
    <w:rsid w:val="00204E13"/>
    <w:rsid w:val="00205644"/>
    <w:rsid w:val="00205CCE"/>
    <w:rsid w:val="00207A05"/>
    <w:rsid w:val="00210BE4"/>
    <w:rsid w:val="002111DD"/>
    <w:rsid w:val="002116BD"/>
    <w:rsid w:val="00212E96"/>
    <w:rsid w:val="002137A1"/>
    <w:rsid w:val="00214170"/>
    <w:rsid w:val="002150FE"/>
    <w:rsid w:val="00215FFC"/>
    <w:rsid w:val="00216A02"/>
    <w:rsid w:val="00216DD3"/>
    <w:rsid w:val="00217523"/>
    <w:rsid w:val="0021781D"/>
    <w:rsid w:val="00217B66"/>
    <w:rsid w:val="00217EA0"/>
    <w:rsid w:val="00220C8E"/>
    <w:rsid w:val="002211EC"/>
    <w:rsid w:val="00221262"/>
    <w:rsid w:val="00221D81"/>
    <w:rsid w:val="00224031"/>
    <w:rsid w:val="00224741"/>
    <w:rsid w:val="002248BD"/>
    <w:rsid w:val="00224CD2"/>
    <w:rsid w:val="002266F1"/>
    <w:rsid w:val="002267F1"/>
    <w:rsid w:val="00226B59"/>
    <w:rsid w:val="00230EF6"/>
    <w:rsid w:val="002311BD"/>
    <w:rsid w:val="002323D0"/>
    <w:rsid w:val="0023315D"/>
    <w:rsid w:val="00233524"/>
    <w:rsid w:val="00233736"/>
    <w:rsid w:val="00233956"/>
    <w:rsid w:val="002346CD"/>
    <w:rsid w:val="00236F35"/>
    <w:rsid w:val="00236F9D"/>
    <w:rsid w:val="002375B4"/>
    <w:rsid w:val="00240369"/>
    <w:rsid w:val="00240AEF"/>
    <w:rsid w:val="0024397D"/>
    <w:rsid w:val="00243BB2"/>
    <w:rsid w:val="0024409B"/>
    <w:rsid w:val="00244529"/>
    <w:rsid w:val="00244EDB"/>
    <w:rsid w:val="0024534C"/>
    <w:rsid w:val="00245AEC"/>
    <w:rsid w:val="00247E65"/>
    <w:rsid w:val="0025080C"/>
    <w:rsid w:val="0025207C"/>
    <w:rsid w:val="00254774"/>
    <w:rsid w:val="0025577D"/>
    <w:rsid w:val="00255CB4"/>
    <w:rsid w:val="0025607E"/>
    <w:rsid w:val="00256481"/>
    <w:rsid w:val="002564B0"/>
    <w:rsid w:val="00257643"/>
    <w:rsid w:val="00260080"/>
    <w:rsid w:val="00260770"/>
    <w:rsid w:val="00260E1E"/>
    <w:rsid w:val="00260F6E"/>
    <w:rsid w:val="00261EA3"/>
    <w:rsid w:val="00262D53"/>
    <w:rsid w:val="00263CA8"/>
    <w:rsid w:val="002643F3"/>
    <w:rsid w:val="0026448F"/>
    <w:rsid w:val="002660BC"/>
    <w:rsid w:val="00267042"/>
    <w:rsid w:val="00267FE2"/>
    <w:rsid w:val="0027020F"/>
    <w:rsid w:val="002707F7"/>
    <w:rsid w:val="00270B46"/>
    <w:rsid w:val="00270E66"/>
    <w:rsid w:val="002721FA"/>
    <w:rsid w:val="00272758"/>
    <w:rsid w:val="00272E1D"/>
    <w:rsid w:val="00275F5E"/>
    <w:rsid w:val="00276096"/>
    <w:rsid w:val="002764CB"/>
    <w:rsid w:val="0027673E"/>
    <w:rsid w:val="00277A52"/>
    <w:rsid w:val="00277D0B"/>
    <w:rsid w:val="0028052A"/>
    <w:rsid w:val="002805C4"/>
    <w:rsid w:val="00283CA8"/>
    <w:rsid w:val="002845D3"/>
    <w:rsid w:val="002847C0"/>
    <w:rsid w:val="00284AD9"/>
    <w:rsid w:val="00284E5C"/>
    <w:rsid w:val="00285752"/>
    <w:rsid w:val="0028792C"/>
    <w:rsid w:val="002879F1"/>
    <w:rsid w:val="002905D8"/>
    <w:rsid w:val="00290DB9"/>
    <w:rsid w:val="00291155"/>
    <w:rsid w:val="00291F7B"/>
    <w:rsid w:val="00292ECE"/>
    <w:rsid w:val="002940C6"/>
    <w:rsid w:val="00294B1B"/>
    <w:rsid w:val="00294CA9"/>
    <w:rsid w:val="00295998"/>
    <w:rsid w:val="002969C3"/>
    <w:rsid w:val="00297030"/>
    <w:rsid w:val="002A1320"/>
    <w:rsid w:val="002A19C0"/>
    <w:rsid w:val="002A2068"/>
    <w:rsid w:val="002A206F"/>
    <w:rsid w:val="002A2980"/>
    <w:rsid w:val="002A33F3"/>
    <w:rsid w:val="002A4896"/>
    <w:rsid w:val="002A49B8"/>
    <w:rsid w:val="002A4D9A"/>
    <w:rsid w:val="002A4E8C"/>
    <w:rsid w:val="002A5179"/>
    <w:rsid w:val="002A57D8"/>
    <w:rsid w:val="002A5D07"/>
    <w:rsid w:val="002A7146"/>
    <w:rsid w:val="002B260A"/>
    <w:rsid w:val="002B57CF"/>
    <w:rsid w:val="002B67A3"/>
    <w:rsid w:val="002C06ED"/>
    <w:rsid w:val="002C12CE"/>
    <w:rsid w:val="002C155C"/>
    <w:rsid w:val="002C2FAB"/>
    <w:rsid w:val="002C3395"/>
    <w:rsid w:val="002C4269"/>
    <w:rsid w:val="002C451D"/>
    <w:rsid w:val="002C547E"/>
    <w:rsid w:val="002C55DF"/>
    <w:rsid w:val="002C5F73"/>
    <w:rsid w:val="002C7DA5"/>
    <w:rsid w:val="002D3381"/>
    <w:rsid w:val="002D34A9"/>
    <w:rsid w:val="002D45E4"/>
    <w:rsid w:val="002D478C"/>
    <w:rsid w:val="002D5755"/>
    <w:rsid w:val="002D6121"/>
    <w:rsid w:val="002D71DF"/>
    <w:rsid w:val="002D72DF"/>
    <w:rsid w:val="002E04EA"/>
    <w:rsid w:val="002E0765"/>
    <w:rsid w:val="002E2948"/>
    <w:rsid w:val="002E373E"/>
    <w:rsid w:val="002E5E11"/>
    <w:rsid w:val="002E7287"/>
    <w:rsid w:val="002F00E3"/>
    <w:rsid w:val="002F0A95"/>
    <w:rsid w:val="002F13AD"/>
    <w:rsid w:val="002F1FFB"/>
    <w:rsid w:val="002F24E1"/>
    <w:rsid w:val="002F2A9F"/>
    <w:rsid w:val="002F3E66"/>
    <w:rsid w:val="002F4183"/>
    <w:rsid w:val="002F475D"/>
    <w:rsid w:val="002F5272"/>
    <w:rsid w:val="002F664F"/>
    <w:rsid w:val="002F7A63"/>
    <w:rsid w:val="003003C0"/>
    <w:rsid w:val="0030068B"/>
    <w:rsid w:val="00300855"/>
    <w:rsid w:val="00302737"/>
    <w:rsid w:val="00302A61"/>
    <w:rsid w:val="003045D1"/>
    <w:rsid w:val="003045F6"/>
    <w:rsid w:val="00304D73"/>
    <w:rsid w:val="00305182"/>
    <w:rsid w:val="003056D6"/>
    <w:rsid w:val="0030598B"/>
    <w:rsid w:val="0030672D"/>
    <w:rsid w:val="00306E0A"/>
    <w:rsid w:val="00306F39"/>
    <w:rsid w:val="00307CCF"/>
    <w:rsid w:val="00311270"/>
    <w:rsid w:val="003113E0"/>
    <w:rsid w:val="003118D7"/>
    <w:rsid w:val="00312833"/>
    <w:rsid w:val="00312C1B"/>
    <w:rsid w:val="003138AA"/>
    <w:rsid w:val="00313917"/>
    <w:rsid w:val="00314B0B"/>
    <w:rsid w:val="003156F5"/>
    <w:rsid w:val="00316098"/>
    <w:rsid w:val="00316631"/>
    <w:rsid w:val="00316EE5"/>
    <w:rsid w:val="00320E49"/>
    <w:rsid w:val="003214A9"/>
    <w:rsid w:val="00321A46"/>
    <w:rsid w:val="00322F17"/>
    <w:rsid w:val="0032477D"/>
    <w:rsid w:val="003257E9"/>
    <w:rsid w:val="003262D2"/>
    <w:rsid w:val="00327329"/>
    <w:rsid w:val="00327477"/>
    <w:rsid w:val="00327499"/>
    <w:rsid w:val="00327DDD"/>
    <w:rsid w:val="0033058A"/>
    <w:rsid w:val="0033064E"/>
    <w:rsid w:val="00330AC7"/>
    <w:rsid w:val="003316A0"/>
    <w:rsid w:val="0033187D"/>
    <w:rsid w:val="0033195A"/>
    <w:rsid w:val="00332A82"/>
    <w:rsid w:val="00334122"/>
    <w:rsid w:val="00334913"/>
    <w:rsid w:val="003350EA"/>
    <w:rsid w:val="00335120"/>
    <w:rsid w:val="003371DB"/>
    <w:rsid w:val="00337C8A"/>
    <w:rsid w:val="003404B4"/>
    <w:rsid w:val="0034130D"/>
    <w:rsid w:val="0034133C"/>
    <w:rsid w:val="003416A3"/>
    <w:rsid w:val="00341BA7"/>
    <w:rsid w:val="00342143"/>
    <w:rsid w:val="00342F57"/>
    <w:rsid w:val="00343DFD"/>
    <w:rsid w:val="0034477A"/>
    <w:rsid w:val="00344D4F"/>
    <w:rsid w:val="0034596B"/>
    <w:rsid w:val="00346C40"/>
    <w:rsid w:val="00347C60"/>
    <w:rsid w:val="00350450"/>
    <w:rsid w:val="003504FE"/>
    <w:rsid w:val="00350A6A"/>
    <w:rsid w:val="003518E2"/>
    <w:rsid w:val="00351DF3"/>
    <w:rsid w:val="003521B8"/>
    <w:rsid w:val="00352316"/>
    <w:rsid w:val="00352E8A"/>
    <w:rsid w:val="0035324B"/>
    <w:rsid w:val="003543C9"/>
    <w:rsid w:val="00354514"/>
    <w:rsid w:val="003550DA"/>
    <w:rsid w:val="003558E7"/>
    <w:rsid w:val="00355E11"/>
    <w:rsid w:val="00357C5C"/>
    <w:rsid w:val="00361CC3"/>
    <w:rsid w:val="00362941"/>
    <w:rsid w:val="00362ACB"/>
    <w:rsid w:val="00362BC6"/>
    <w:rsid w:val="00362BEC"/>
    <w:rsid w:val="003636A4"/>
    <w:rsid w:val="00365CE8"/>
    <w:rsid w:val="00367870"/>
    <w:rsid w:val="00370741"/>
    <w:rsid w:val="0037146A"/>
    <w:rsid w:val="0037176A"/>
    <w:rsid w:val="00371907"/>
    <w:rsid w:val="00375479"/>
    <w:rsid w:val="0037664B"/>
    <w:rsid w:val="0037754F"/>
    <w:rsid w:val="00377ACE"/>
    <w:rsid w:val="00380C4B"/>
    <w:rsid w:val="003814EF"/>
    <w:rsid w:val="00382896"/>
    <w:rsid w:val="00383267"/>
    <w:rsid w:val="003837F6"/>
    <w:rsid w:val="00383DA8"/>
    <w:rsid w:val="00384469"/>
    <w:rsid w:val="0038596A"/>
    <w:rsid w:val="003916D4"/>
    <w:rsid w:val="003923B5"/>
    <w:rsid w:val="00392557"/>
    <w:rsid w:val="00392D92"/>
    <w:rsid w:val="00393270"/>
    <w:rsid w:val="0039344B"/>
    <w:rsid w:val="00393D1A"/>
    <w:rsid w:val="00394D6A"/>
    <w:rsid w:val="00394F4A"/>
    <w:rsid w:val="003958CF"/>
    <w:rsid w:val="00396613"/>
    <w:rsid w:val="00396711"/>
    <w:rsid w:val="003A05A0"/>
    <w:rsid w:val="003A05C5"/>
    <w:rsid w:val="003A0B07"/>
    <w:rsid w:val="003A13CA"/>
    <w:rsid w:val="003A17FF"/>
    <w:rsid w:val="003A1AEA"/>
    <w:rsid w:val="003A1F5A"/>
    <w:rsid w:val="003A231A"/>
    <w:rsid w:val="003A29AD"/>
    <w:rsid w:val="003A2CC8"/>
    <w:rsid w:val="003A3022"/>
    <w:rsid w:val="003A3587"/>
    <w:rsid w:val="003A35A7"/>
    <w:rsid w:val="003A3BED"/>
    <w:rsid w:val="003A3DFE"/>
    <w:rsid w:val="003A415B"/>
    <w:rsid w:val="003A4A22"/>
    <w:rsid w:val="003A4B51"/>
    <w:rsid w:val="003A5721"/>
    <w:rsid w:val="003A5AF1"/>
    <w:rsid w:val="003A5B2A"/>
    <w:rsid w:val="003A683D"/>
    <w:rsid w:val="003B2C69"/>
    <w:rsid w:val="003B2D3A"/>
    <w:rsid w:val="003B441D"/>
    <w:rsid w:val="003B47FF"/>
    <w:rsid w:val="003B5B43"/>
    <w:rsid w:val="003B60D4"/>
    <w:rsid w:val="003B66A4"/>
    <w:rsid w:val="003B7C61"/>
    <w:rsid w:val="003C0A70"/>
    <w:rsid w:val="003C0F81"/>
    <w:rsid w:val="003C0FDC"/>
    <w:rsid w:val="003C1628"/>
    <w:rsid w:val="003C2B1B"/>
    <w:rsid w:val="003C43EF"/>
    <w:rsid w:val="003C4495"/>
    <w:rsid w:val="003C464D"/>
    <w:rsid w:val="003C4B53"/>
    <w:rsid w:val="003C4FF3"/>
    <w:rsid w:val="003D0406"/>
    <w:rsid w:val="003D20C4"/>
    <w:rsid w:val="003D2E4C"/>
    <w:rsid w:val="003D3487"/>
    <w:rsid w:val="003D34A0"/>
    <w:rsid w:val="003D4133"/>
    <w:rsid w:val="003D4D5B"/>
    <w:rsid w:val="003D4F68"/>
    <w:rsid w:val="003D68A3"/>
    <w:rsid w:val="003D72A1"/>
    <w:rsid w:val="003D76CD"/>
    <w:rsid w:val="003D7A9E"/>
    <w:rsid w:val="003E0F35"/>
    <w:rsid w:val="003E14A9"/>
    <w:rsid w:val="003E1C0A"/>
    <w:rsid w:val="003E22CB"/>
    <w:rsid w:val="003E258F"/>
    <w:rsid w:val="003E3AF4"/>
    <w:rsid w:val="003E3D8A"/>
    <w:rsid w:val="003E3F93"/>
    <w:rsid w:val="003E432A"/>
    <w:rsid w:val="003E44AF"/>
    <w:rsid w:val="003E4568"/>
    <w:rsid w:val="003E54B7"/>
    <w:rsid w:val="003E5FA0"/>
    <w:rsid w:val="003E60F8"/>
    <w:rsid w:val="003E740C"/>
    <w:rsid w:val="003F0F13"/>
    <w:rsid w:val="003F215B"/>
    <w:rsid w:val="003F40BA"/>
    <w:rsid w:val="003F5F7A"/>
    <w:rsid w:val="003F60B5"/>
    <w:rsid w:val="003F6FC9"/>
    <w:rsid w:val="004000E2"/>
    <w:rsid w:val="00400274"/>
    <w:rsid w:val="00400B9A"/>
    <w:rsid w:val="004027AD"/>
    <w:rsid w:val="00403758"/>
    <w:rsid w:val="00403D51"/>
    <w:rsid w:val="00404530"/>
    <w:rsid w:val="00404C37"/>
    <w:rsid w:val="004058BD"/>
    <w:rsid w:val="0040597B"/>
    <w:rsid w:val="0040778D"/>
    <w:rsid w:val="00410A65"/>
    <w:rsid w:val="00413518"/>
    <w:rsid w:val="0041369A"/>
    <w:rsid w:val="00413D36"/>
    <w:rsid w:val="0041480C"/>
    <w:rsid w:val="00415254"/>
    <w:rsid w:val="0041625C"/>
    <w:rsid w:val="00416FB6"/>
    <w:rsid w:val="00417339"/>
    <w:rsid w:val="0041739E"/>
    <w:rsid w:val="0041783B"/>
    <w:rsid w:val="004223A6"/>
    <w:rsid w:val="0042286B"/>
    <w:rsid w:val="00424A45"/>
    <w:rsid w:val="004259F8"/>
    <w:rsid w:val="00427BEE"/>
    <w:rsid w:val="0043271A"/>
    <w:rsid w:val="00432796"/>
    <w:rsid w:val="00432EB4"/>
    <w:rsid w:val="00432F29"/>
    <w:rsid w:val="00434057"/>
    <w:rsid w:val="004349D6"/>
    <w:rsid w:val="00435096"/>
    <w:rsid w:val="00435179"/>
    <w:rsid w:val="00435A3B"/>
    <w:rsid w:val="00437EC9"/>
    <w:rsid w:val="0044241B"/>
    <w:rsid w:val="00442439"/>
    <w:rsid w:val="0044261D"/>
    <w:rsid w:val="00443A29"/>
    <w:rsid w:val="00443EE4"/>
    <w:rsid w:val="00444190"/>
    <w:rsid w:val="00444616"/>
    <w:rsid w:val="0044477A"/>
    <w:rsid w:val="004448CA"/>
    <w:rsid w:val="004468BC"/>
    <w:rsid w:val="00447517"/>
    <w:rsid w:val="00450760"/>
    <w:rsid w:val="00450FE7"/>
    <w:rsid w:val="00451AA9"/>
    <w:rsid w:val="00451C8B"/>
    <w:rsid w:val="00452EC7"/>
    <w:rsid w:val="00453175"/>
    <w:rsid w:val="00453780"/>
    <w:rsid w:val="0045398A"/>
    <w:rsid w:val="00453AC7"/>
    <w:rsid w:val="00455495"/>
    <w:rsid w:val="00455FD2"/>
    <w:rsid w:val="0045736A"/>
    <w:rsid w:val="00460DF1"/>
    <w:rsid w:val="00461BB7"/>
    <w:rsid w:val="00463CA5"/>
    <w:rsid w:val="00464469"/>
    <w:rsid w:val="00465117"/>
    <w:rsid w:val="0046519F"/>
    <w:rsid w:val="00465236"/>
    <w:rsid w:val="004657FC"/>
    <w:rsid w:val="004665B7"/>
    <w:rsid w:val="0046678C"/>
    <w:rsid w:val="0046760B"/>
    <w:rsid w:val="004702B9"/>
    <w:rsid w:val="00470BB5"/>
    <w:rsid w:val="004718FE"/>
    <w:rsid w:val="00471F93"/>
    <w:rsid w:val="00472F5C"/>
    <w:rsid w:val="00473A67"/>
    <w:rsid w:val="00474956"/>
    <w:rsid w:val="00474B58"/>
    <w:rsid w:val="00474C83"/>
    <w:rsid w:val="00476421"/>
    <w:rsid w:val="00480DA8"/>
    <w:rsid w:val="004829FE"/>
    <w:rsid w:val="00483130"/>
    <w:rsid w:val="00483625"/>
    <w:rsid w:val="004845FB"/>
    <w:rsid w:val="004854F8"/>
    <w:rsid w:val="0048572B"/>
    <w:rsid w:val="004871B3"/>
    <w:rsid w:val="00487807"/>
    <w:rsid w:val="00487944"/>
    <w:rsid w:val="00490153"/>
    <w:rsid w:val="00491266"/>
    <w:rsid w:val="004914A6"/>
    <w:rsid w:val="00491EC7"/>
    <w:rsid w:val="00492522"/>
    <w:rsid w:val="00492CAF"/>
    <w:rsid w:val="00494561"/>
    <w:rsid w:val="00495006"/>
    <w:rsid w:val="00495A25"/>
    <w:rsid w:val="00495D87"/>
    <w:rsid w:val="00495F6A"/>
    <w:rsid w:val="004963D7"/>
    <w:rsid w:val="00496E0E"/>
    <w:rsid w:val="004978B8"/>
    <w:rsid w:val="004A07BF"/>
    <w:rsid w:val="004A1723"/>
    <w:rsid w:val="004A1D57"/>
    <w:rsid w:val="004A1FA4"/>
    <w:rsid w:val="004A2462"/>
    <w:rsid w:val="004A2A46"/>
    <w:rsid w:val="004A5050"/>
    <w:rsid w:val="004A51EB"/>
    <w:rsid w:val="004A61B9"/>
    <w:rsid w:val="004A6DB8"/>
    <w:rsid w:val="004A7384"/>
    <w:rsid w:val="004A7843"/>
    <w:rsid w:val="004A7D24"/>
    <w:rsid w:val="004A7DCF"/>
    <w:rsid w:val="004B0C5D"/>
    <w:rsid w:val="004B1084"/>
    <w:rsid w:val="004B23A5"/>
    <w:rsid w:val="004B247B"/>
    <w:rsid w:val="004B35BC"/>
    <w:rsid w:val="004B3E8D"/>
    <w:rsid w:val="004B3FD6"/>
    <w:rsid w:val="004B50AE"/>
    <w:rsid w:val="004B5691"/>
    <w:rsid w:val="004B757F"/>
    <w:rsid w:val="004C0183"/>
    <w:rsid w:val="004C0761"/>
    <w:rsid w:val="004C125A"/>
    <w:rsid w:val="004C1830"/>
    <w:rsid w:val="004C23A2"/>
    <w:rsid w:val="004C2625"/>
    <w:rsid w:val="004C280F"/>
    <w:rsid w:val="004C3628"/>
    <w:rsid w:val="004C468D"/>
    <w:rsid w:val="004C554B"/>
    <w:rsid w:val="004C5CFA"/>
    <w:rsid w:val="004C753E"/>
    <w:rsid w:val="004C7780"/>
    <w:rsid w:val="004C7E89"/>
    <w:rsid w:val="004D06F3"/>
    <w:rsid w:val="004D17F4"/>
    <w:rsid w:val="004D3AE0"/>
    <w:rsid w:val="004D5110"/>
    <w:rsid w:val="004D52DA"/>
    <w:rsid w:val="004D69FB"/>
    <w:rsid w:val="004E06E9"/>
    <w:rsid w:val="004E0FAB"/>
    <w:rsid w:val="004E2908"/>
    <w:rsid w:val="004E2C11"/>
    <w:rsid w:val="004E2E25"/>
    <w:rsid w:val="004E5ADD"/>
    <w:rsid w:val="004E78FE"/>
    <w:rsid w:val="004E7D05"/>
    <w:rsid w:val="004F07E5"/>
    <w:rsid w:val="004F0D4F"/>
    <w:rsid w:val="004F0F57"/>
    <w:rsid w:val="004F2470"/>
    <w:rsid w:val="004F2C10"/>
    <w:rsid w:val="004F2D29"/>
    <w:rsid w:val="004F38B8"/>
    <w:rsid w:val="004F3C75"/>
    <w:rsid w:val="004F5BD1"/>
    <w:rsid w:val="004F5EFD"/>
    <w:rsid w:val="004F680F"/>
    <w:rsid w:val="004F7A38"/>
    <w:rsid w:val="0050137C"/>
    <w:rsid w:val="00502117"/>
    <w:rsid w:val="005038F5"/>
    <w:rsid w:val="00503E6D"/>
    <w:rsid w:val="00503EE0"/>
    <w:rsid w:val="00504EE0"/>
    <w:rsid w:val="0050535B"/>
    <w:rsid w:val="00505EB1"/>
    <w:rsid w:val="00506046"/>
    <w:rsid w:val="005061E3"/>
    <w:rsid w:val="005074B6"/>
    <w:rsid w:val="00510478"/>
    <w:rsid w:val="005104BB"/>
    <w:rsid w:val="00511841"/>
    <w:rsid w:val="00511A6D"/>
    <w:rsid w:val="00512153"/>
    <w:rsid w:val="00514468"/>
    <w:rsid w:val="00514DDE"/>
    <w:rsid w:val="00515ECB"/>
    <w:rsid w:val="00520331"/>
    <w:rsid w:val="00521B6A"/>
    <w:rsid w:val="0052234D"/>
    <w:rsid w:val="00522EE4"/>
    <w:rsid w:val="005231CD"/>
    <w:rsid w:val="00523217"/>
    <w:rsid w:val="00524632"/>
    <w:rsid w:val="0052542B"/>
    <w:rsid w:val="00525B92"/>
    <w:rsid w:val="00526159"/>
    <w:rsid w:val="00526D6D"/>
    <w:rsid w:val="00527000"/>
    <w:rsid w:val="00527D19"/>
    <w:rsid w:val="00530312"/>
    <w:rsid w:val="00530783"/>
    <w:rsid w:val="00531B6D"/>
    <w:rsid w:val="005341A3"/>
    <w:rsid w:val="00534D2C"/>
    <w:rsid w:val="00534D81"/>
    <w:rsid w:val="00536B89"/>
    <w:rsid w:val="00536CE1"/>
    <w:rsid w:val="00537533"/>
    <w:rsid w:val="005401AF"/>
    <w:rsid w:val="00540486"/>
    <w:rsid w:val="00540586"/>
    <w:rsid w:val="005417CD"/>
    <w:rsid w:val="00541E39"/>
    <w:rsid w:val="00542D7E"/>
    <w:rsid w:val="00543389"/>
    <w:rsid w:val="005438C6"/>
    <w:rsid w:val="00543C52"/>
    <w:rsid w:val="0054621E"/>
    <w:rsid w:val="00551421"/>
    <w:rsid w:val="00552A9C"/>
    <w:rsid w:val="005535E3"/>
    <w:rsid w:val="00554930"/>
    <w:rsid w:val="00554CC3"/>
    <w:rsid w:val="005552B5"/>
    <w:rsid w:val="00556658"/>
    <w:rsid w:val="00556A53"/>
    <w:rsid w:val="0055774F"/>
    <w:rsid w:val="005578DD"/>
    <w:rsid w:val="00557BF4"/>
    <w:rsid w:val="005607C4"/>
    <w:rsid w:val="00560DD5"/>
    <w:rsid w:val="00562454"/>
    <w:rsid w:val="0056434A"/>
    <w:rsid w:val="005658E2"/>
    <w:rsid w:val="005660B4"/>
    <w:rsid w:val="0056695E"/>
    <w:rsid w:val="00566C96"/>
    <w:rsid w:val="00567818"/>
    <w:rsid w:val="00570790"/>
    <w:rsid w:val="00571641"/>
    <w:rsid w:val="005720BF"/>
    <w:rsid w:val="00572D29"/>
    <w:rsid w:val="00572D3B"/>
    <w:rsid w:val="00572D8A"/>
    <w:rsid w:val="00572E71"/>
    <w:rsid w:val="00573278"/>
    <w:rsid w:val="005736E3"/>
    <w:rsid w:val="00575829"/>
    <w:rsid w:val="00575E1B"/>
    <w:rsid w:val="00576C00"/>
    <w:rsid w:val="00580275"/>
    <w:rsid w:val="005803CD"/>
    <w:rsid w:val="00580B63"/>
    <w:rsid w:val="005816FC"/>
    <w:rsid w:val="00581869"/>
    <w:rsid w:val="005838F8"/>
    <w:rsid w:val="00583B84"/>
    <w:rsid w:val="00583D2D"/>
    <w:rsid w:val="0058430F"/>
    <w:rsid w:val="00584916"/>
    <w:rsid w:val="00584C2C"/>
    <w:rsid w:val="00584FE1"/>
    <w:rsid w:val="005856C6"/>
    <w:rsid w:val="005861B6"/>
    <w:rsid w:val="00586608"/>
    <w:rsid w:val="00587626"/>
    <w:rsid w:val="00587CD5"/>
    <w:rsid w:val="00590360"/>
    <w:rsid w:val="00591721"/>
    <w:rsid w:val="00592064"/>
    <w:rsid w:val="00593262"/>
    <w:rsid w:val="0059365D"/>
    <w:rsid w:val="005943CB"/>
    <w:rsid w:val="00594456"/>
    <w:rsid w:val="00594CB1"/>
    <w:rsid w:val="00594D9A"/>
    <w:rsid w:val="00595261"/>
    <w:rsid w:val="005967C6"/>
    <w:rsid w:val="00596C14"/>
    <w:rsid w:val="005A031D"/>
    <w:rsid w:val="005A06D4"/>
    <w:rsid w:val="005A0EB6"/>
    <w:rsid w:val="005A0EE0"/>
    <w:rsid w:val="005A160A"/>
    <w:rsid w:val="005A1836"/>
    <w:rsid w:val="005A185B"/>
    <w:rsid w:val="005A2798"/>
    <w:rsid w:val="005A3617"/>
    <w:rsid w:val="005A384F"/>
    <w:rsid w:val="005A56A4"/>
    <w:rsid w:val="005A6341"/>
    <w:rsid w:val="005A6511"/>
    <w:rsid w:val="005A69FA"/>
    <w:rsid w:val="005A6EB7"/>
    <w:rsid w:val="005A7196"/>
    <w:rsid w:val="005A7B5B"/>
    <w:rsid w:val="005B0DB3"/>
    <w:rsid w:val="005B1537"/>
    <w:rsid w:val="005B3518"/>
    <w:rsid w:val="005B41CA"/>
    <w:rsid w:val="005B71FB"/>
    <w:rsid w:val="005B7D49"/>
    <w:rsid w:val="005C1A32"/>
    <w:rsid w:val="005C1B2E"/>
    <w:rsid w:val="005C2650"/>
    <w:rsid w:val="005C2DDC"/>
    <w:rsid w:val="005C52A4"/>
    <w:rsid w:val="005C669F"/>
    <w:rsid w:val="005C6D04"/>
    <w:rsid w:val="005C7953"/>
    <w:rsid w:val="005D0D3F"/>
    <w:rsid w:val="005D0FEB"/>
    <w:rsid w:val="005D112C"/>
    <w:rsid w:val="005D1834"/>
    <w:rsid w:val="005D259B"/>
    <w:rsid w:val="005D28B7"/>
    <w:rsid w:val="005D52FB"/>
    <w:rsid w:val="005D53B6"/>
    <w:rsid w:val="005D6411"/>
    <w:rsid w:val="005D6D7E"/>
    <w:rsid w:val="005D725E"/>
    <w:rsid w:val="005E1EE9"/>
    <w:rsid w:val="005E2645"/>
    <w:rsid w:val="005E3318"/>
    <w:rsid w:val="005E4A61"/>
    <w:rsid w:val="005E53B1"/>
    <w:rsid w:val="005E5820"/>
    <w:rsid w:val="005E624A"/>
    <w:rsid w:val="005E6622"/>
    <w:rsid w:val="005E737E"/>
    <w:rsid w:val="005E7F95"/>
    <w:rsid w:val="005F1099"/>
    <w:rsid w:val="005F13D3"/>
    <w:rsid w:val="005F1DA2"/>
    <w:rsid w:val="005F2908"/>
    <w:rsid w:val="005F324E"/>
    <w:rsid w:val="005F416C"/>
    <w:rsid w:val="005F4B6C"/>
    <w:rsid w:val="005F4E97"/>
    <w:rsid w:val="005F549F"/>
    <w:rsid w:val="005F6C30"/>
    <w:rsid w:val="005F6F31"/>
    <w:rsid w:val="005F7073"/>
    <w:rsid w:val="005F72BF"/>
    <w:rsid w:val="005F7D60"/>
    <w:rsid w:val="00600D15"/>
    <w:rsid w:val="0060158B"/>
    <w:rsid w:val="00601936"/>
    <w:rsid w:val="00601C4F"/>
    <w:rsid w:val="00601E1D"/>
    <w:rsid w:val="0060228B"/>
    <w:rsid w:val="0060236A"/>
    <w:rsid w:val="00603561"/>
    <w:rsid w:val="00604858"/>
    <w:rsid w:val="006050EE"/>
    <w:rsid w:val="006051A3"/>
    <w:rsid w:val="006053DE"/>
    <w:rsid w:val="00605533"/>
    <w:rsid w:val="00605D9E"/>
    <w:rsid w:val="0060618D"/>
    <w:rsid w:val="00611099"/>
    <w:rsid w:val="00612499"/>
    <w:rsid w:val="0061254A"/>
    <w:rsid w:val="00612D8D"/>
    <w:rsid w:val="00614694"/>
    <w:rsid w:val="00614724"/>
    <w:rsid w:val="0061511E"/>
    <w:rsid w:val="0061554A"/>
    <w:rsid w:val="00615EB2"/>
    <w:rsid w:val="00616684"/>
    <w:rsid w:val="0061704B"/>
    <w:rsid w:val="00617974"/>
    <w:rsid w:val="006206BB"/>
    <w:rsid w:val="00621192"/>
    <w:rsid w:val="006211BC"/>
    <w:rsid w:val="00621F61"/>
    <w:rsid w:val="00621FB7"/>
    <w:rsid w:val="006222B0"/>
    <w:rsid w:val="00622F8D"/>
    <w:rsid w:val="00623579"/>
    <w:rsid w:val="00624399"/>
    <w:rsid w:val="00624D12"/>
    <w:rsid w:val="006250FB"/>
    <w:rsid w:val="00626214"/>
    <w:rsid w:val="00626273"/>
    <w:rsid w:val="00626D6A"/>
    <w:rsid w:val="00626E96"/>
    <w:rsid w:val="006274A4"/>
    <w:rsid w:val="006278C0"/>
    <w:rsid w:val="00630290"/>
    <w:rsid w:val="00631481"/>
    <w:rsid w:val="00631E30"/>
    <w:rsid w:val="00632E3D"/>
    <w:rsid w:val="00633253"/>
    <w:rsid w:val="006343B2"/>
    <w:rsid w:val="00634663"/>
    <w:rsid w:val="00634978"/>
    <w:rsid w:val="00634F83"/>
    <w:rsid w:val="00635656"/>
    <w:rsid w:val="00635C86"/>
    <w:rsid w:val="00637636"/>
    <w:rsid w:val="00637A2D"/>
    <w:rsid w:val="00640D75"/>
    <w:rsid w:val="00641878"/>
    <w:rsid w:val="00644A8B"/>
    <w:rsid w:val="00645C20"/>
    <w:rsid w:val="00647A68"/>
    <w:rsid w:val="00647D86"/>
    <w:rsid w:val="00652006"/>
    <w:rsid w:val="0065246C"/>
    <w:rsid w:val="00654D27"/>
    <w:rsid w:val="00654F15"/>
    <w:rsid w:val="0065549B"/>
    <w:rsid w:val="00662459"/>
    <w:rsid w:val="006637A3"/>
    <w:rsid w:val="006651FC"/>
    <w:rsid w:val="00665241"/>
    <w:rsid w:val="00665277"/>
    <w:rsid w:val="006655A4"/>
    <w:rsid w:val="0066565D"/>
    <w:rsid w:val="0066591D"/>
    <w:rsid w:val="006664DF"/>
    <w:rsid w:val="00667667"/>
    <w:rsid w:val="00667719"/>
    <w:rsid w:val="00671C60"/>
    <w:rsid w:val="00672625"/>
    <w:rsid w:val="00672E7A"/>
    <w:rsid w:val="006736ED"/>
    <w:rsid w:val="00673CDD"/>
    <w:rsid w:val="00673DC6"/>
    <w:rsid w:val="00674568"/>
    <w:rsid w:val="00674C23"/>
    <w:rsid w:val="00674FE7"/>
    <w:rsid w:val="00675241"/>
    <w:rsid w:val="00676FF0"/>
    <w:rsid w:val="00677C85"/>
    <w:rsid w:val="00680748"/>
    <w:rsid w:val="00680AF7"/>
    <w:rsid w:val="006817C2"/>
    <w:rsid w:val="00681CD4"/>
    <w:rsid w:val="0068211C"/>
    <w:rsid w:val="0068250F"/>
    <w:rsid w:val="006827E4"/>
    <w:rsid w:val="00684BBD"/>
    <w:rsid w:val="006851AB"/>
    <w:rsid w:val="006867F9"/>
    <w:rsid w:val="00686948"/>
    <w:rsid w:val="00690452"/>
    <w:rsid w:val="00691CC4"/>
    <w:rsid w:val="0069273F"/>
    <w:rsid w:val="00693BED"/>
    <w:rsid w:val="006942F4"/>
    <w:rsid w:val="006950B9"/>
    <w:rsid w:val="00695779"/>
    <w:rsid w:val="00695965"/>
    <w:rsid w:val="006960B5"/>
    <w:rsid w:val="00696F1E"/>
    <w:rsid w:val="0069790B"/>
    <w:rsid w:val="006A1B9F"/>
    <w:rsid w:val="006A1FCD"/>
    <w:rsid w:val="006A3251"/>
    <w:rsid w:val="006A3E2C"/>
    <w:rsid w:val="006A3F90"/>
    <w:rsid w:val="006A5CF6"/>
    <w:rsid w:val="006A7B8B"/>
    <w:rsid w:val="006B04CE"/>
    <w:rsid w:val="006B11BE"/>
    <w:rsid w:val="006B17E1"/>
    <w:rsid w:val="006B241D"/>
    <w:rsid w:val="006B3540"/>
    <w:rsid w:val="006B4C68"/>
    <w:rsid w:val="006B4F1A"/>
    <w:rsid w:val="006B53E2"/>
    <w:rsid w:val="006B5478"/>
    <w:rsid w:val="006B57DD"/>
    <w:rsid w:val="006C0080"/>
    <w:rsid w:val="006C06FE"/>
    <w:rsid w:val="006C098C"/>
    <w:rsid w:val="006C1381"/>
    <w:rsid w:val="006C1C1B"/>
    <w:rsid w:val="006C1DD6"/>
    <w:rsid w:val="006C21D4"/>
    <w:rsid w:val="006C339E"/>
    <w:rsid w:val="006C346C"/>
    <w:rsid w:val="006C3518"/>
    <w:rsid w:val="006C3FD7"/>
    <w:rsid w:val="006C44E9"/>
    <w:rsid w:val="006C450A"/>
    <w:rsid w:val="006C4C77"/>
    <w:rsid w:val="006C7539"/>
    <w:rsid w:val="006C7D23"/>
    <w:rsid w:val="006D1BF1"/>
    <w:rsid w:val="006D2513"/>
    <w:rsid w:val="006D34BA"/>
    <w:rsid w:val="006D3F29"/>
    <w:rsid w:val="006D3FDB"/>
    <w:rsid w:val="006D4845"/>
    <w:rsid w:val="006D658C"/>
    <w:rsid w:val="006D77EE"/>
    <w:rsid w:val="006E0491"/>
    <w:rsid w:val="006E0BAE"/>
    <w:rsid w:val="006E25C5"/>
    <w:rsid w:val="006E282A"/>
    <w:rsid w:val="006E3482"/>
    <w:rsid w:val="006E492F"/>
    <w:rsid w:val="006E4DEC"/>
    <w:rsid w:val="006E59A3"/>
    <w:rsid w:val="006E59B8"/>
    <w:rsid w:val="006E5D40"/>
    <w:rsid w:val="006E5F96"/>
    <w:rsid w:val="006E61CE"/>
    <w:rsid w:val="006E6627"/>
    <w:rsid w:val="006E67EA"/>
    <w:rsid w:val="006F065A"/>
    <w:rsid w:val="006F0A51"/>
    <w:rsid w:val="006F183C"/>
    <w:rsid w:val="006F1FDC"/>
    <w:rsid w:val="006F2050"/>
    <w:rsid w:val="006F255E"/>
    <w:rsid w:val="006F3543"/>
    <w:rsid w:val="006F354E"/>
    <w:rsid w:val="006F380D"/>
    <w:rsid w:val="006F3D64"/>
    <w:rsid w:val="006F48F8"/>
    <w:rsid w:val="006F4968"/>
    <w:rsid w:val="006F5D4E"/>
    <w:rsid w:val="006F647A"/>
    <w:rsid w:val="006F746C"/>
    <w:rsid w:val="006F7A4C"/>
    <w:rsid w:val="00700561"/>
    <w:rsid w:val="00700B1B"/>
    <w:rsid w:val="00700BA1"/>
    <w:rsid w:val="00702AC5"/>
    <w:rsid w:val="00703235"/>
    <w:rsid w:val="007045E2"/>
    <w:rsid w:val="00704607"/>
    <w:rsid w:val="0070462F"/>
    <w:rsid w:val="00704FE4"/>
    <w:rsid w:val="00705DFE"/>
    <w:rsid w:val="00710B02"/>
    <w:rsid w:val="007117C0"/>
    <w:rsid w:val="00713DB8"/>
    <w:rsid w:val="00715B36"/>
    <w:rsid w:val="00715FD9"/>
    <w:rsid w:val="007164AA"/>
    <w:rsid w:val="007172F1"/>
    <w:rsid w:val="00720386"/>
    <w:rsid w:val="00720AF1"/>
    <w:rsid w:val="00720EDD"/>
    <w:rsid w:val="0072118D"/>
    <w:rsid w:val="00721618"/>
    <w:rsid w:val="00721913"/>
    <w:rsid w:val="00721B86"/>
    <w:rsid w:val="00721F36"/>
    <w:rsid w:val="00722326"/>
    <w:rsid w:val="00722B5D"/>
    <w:rsid w:val="0072452E"/>
    <w:rsid w:val="00725EA1"/>
    <w:rsid w:val="00726916"/>
    <w:rsid w:val="00726A4A"/>
    <w:rsid w:val="0072704E"/>
    <w:rsid w:val="007333B9"/>
    <w:rsid w:val="0073427D"/>
    <w:rsid w:val="0073540A"/>
    <w:rsid w:val="00736BFB"/>
    <w:rsid w:val="007412C3"/>
    <w:rsid w:val="0074344B"/>
    <w:rsid w:val="00743CA8"/>
    <w:rsid w:val="007444F7"/>
    <w:rsid w:val="007459B8"/>
    <w:rsid w:val="00745E9A"/>
    <w:rsid w:val="00746C78"/>
    <w:rsid w:val="0075079F"/>
    <w:rsid w:val="00750EA1"/>
    <w:rsid w:val="00752484"/>
    <w:rsid w:val="007575E9"/>
    <w:rsid w:val="007577DC"/>
    <w:rsid w:val="0076214F"/>
    <w:rsid w:val="00764377"/>
    <w:rsid w:val="007649B9"/>
    <w:rsid w:val="00765FC2"/>
    <w:rsid w:val="00770B75"/>
    <w:rsid w:val="007714FF"/>
    <w:rsid w:val="00771668"/>
    <w:rsid w:val="007724C7"/>
    <w:rsid w:val="00772BE1"/>
    <w:rsid w:val="007730F1"/>
    <w:rsid w:val="007737B6"/>
    <w:rsid w:val="00774612"/>
    <w:rsid w:val="00774AF0"/>
    <w:rsid w:val="00774F22"/>
    <w:rsid w:val="00782307"/>
    <w:rsid w:val="00782C5C"/>
    <w:rsid w:val="00782F74"/>
    <w:rsid w:val="00783551"/>
    <w:rsid w:val="0078387B"/>
    <w:rsid w:val="00784F23"/>
    <w:rsid w:val="007851FC"/>
    <w:rsid w:val="007855EA"/>
    <w:rsid w:val="0078560A"/>
    <w:rsid w:val="00785BF8"/>
    <w:rsid w:val="00786635"/>
    <w:rsid w:val="00787012"/>
    <w:rsid w:val="00787544"/>
    <w:rsid w:val="007907EB"/>
    <w:rsid w:val="00790C9D"/>
    <w:rsid w:val="00790CB6"/>
    <w:rsid w:val="00791DCE"/>
    <w:rsid w:val="0079226E"/>
    <w:rsid w:val="00793648"/>
    <w:rsid w:val="007937BB"/>
    <w:rsid w:val="00793C28"/>
    <w:rsid w:val="00794935"/>
    <w:rsid w:val="00795637"/>
    <w:rsid w:val="00796760"/>
    <w:rsid w:val="00796975"/>
    <w:rsid w:val="007972CE"/>
    <w:rsid w:val="007974CF"/>
    <w:rsid w:val="007A05ED"/>
    <w:rsid w:val="007A15DB"/>
    <w:rsid w:val="007A1CE2"/>
    <w:rsid w:val="007A2244"/>
    <w:rsid w:val="007A45CE"/>
    <w:rsid w:val="007A55B0"/>
    <w:rsid w:val="007A65AE"/>
    <w:rsid w:val="007A678D"/>
    <w:rsid w:val="007A6A94"/>
    <w:rsid w:val="007A6C54"/>
    <w:rsid w:val="007A6E48"/>
    <w:rsid w:val="007A705F"/>
    <w:rsid w:val="007A78FE"/>
    <w:rsid w:val="007A7FCD"/>
    <w:rsid w:val="007B0187"/>
    <w:rsid w:val="007B0DDC"/>
    <w:rsid w:val="007B11DD"/>
    <w:rsid w:val="007B153F"/>
    <w:rsid w:val="007B2073"/>
    <w:rsid w:val="007B24CD"/>
    <w:rsid w:val="007B262D"/>
    <w:rsid w:val="007B4A55"/>
    <w:rsid w:val="007B5415"/>
    <w:rsid w:val="007B5418"/>
    <w:rsid w:val="007C0902"/>
    <w:rsid w:val="007C0E6F"/>
    <w:rsid w:val="007C1F3E"/>
    <w:rsid w:val="007C2B34"/>
    <w:rsid w:val="007C3890"/>
    <w:rsid w:val="007C3E50"/>
    <w:rsid w:val="007C3F92"/>
    <w:rsid w:val="007C62EF"/>
    <w:rsid w:val="007C709C"/>
    <w:rsid w:val="007C7F32"/>
    <w:rsid w:val="007D0172"/>
    <w:rsid w:val="007D0449"/>
    <w:rsid w:val="007D0F81"/>
    <w:rsid w:val="007D1BA4"/>
    <w:rsid w:val="007D2AAE"/>
    <w:rsid w:val="007D2C27"/>
    <w:rsid w:val="007D407D"/>
    <w:rsid w:val="007D4512"/>
    <w:rsid w:val="007D670D"/>
    <w:rsid w:val="007D7A92"/>
    <w:rsid w:val="007D7EA9"/>
    <w:rsid w:val="007E06DB"/>
    <w:rsid w:val="007E2855"/>
    <w:rsid w:val="007E3C8A"/>
    <w:rsid w:val="007E3F10"/>
    <w:rsid w:val="007E4610"/>
    <w:rsid w:val="007E7D06"/>
    <w:rsid w:val="007F0B07"/>
    <w:rsid w:val="007F0D98"/>
    <w:rsid w:val="007F0F2B"/>
    <w:rsid w:val="007F1CE6"/>
    <w:rsid w:val="007F2E0A"/>
    <w:rsid w:val="007F4762"/>
    <w:rsid w:val="007F47D9"/>
    <w:rsid w:val="007F6A7A"/>
    <w:rsid w:val="007F78B0"/>
    <w:rsid w:val="007F7C1B"/>
    <w:rsid w:val="007F7C6E"/>
    <w:rsid w:val="007F7CEF"/>
    <w:rsid w:val="0080044F"/>
    <w:rsid w:val="00800C2E"/>
    <w:rsid w:val="00802DDE"/>
    <w:rsid w:val="008032DD"/>
    <w:rsid w:val="008037C0"/>
    <w:rsid w:val="0080435B"/>
    <w:rsid w:val="008052B0"/>
    <w:rsid w:val="00805D85"/>
    <w:rsid w:val="00806546"/>
    <w:rsid w:val="00807513"/>
    <w:rsid w:val="00807953"/>
    <w:rsid w:val="008108A4"/>
    <w:rsid w:val="008108BA"/>
    <w:rsid w:val="00810DB9"/>
    <w:rsid w:val="008138BD"/>
    <w:rsid w:val="00813FDE"/>
    <w:rsid w:val="008147E7"/>
    <w:rsid w:val="00814A8E"/>
    <w:rsid w:val="00815199"/>
    <w:rsid w:val="00815E6F"/>
    <w:rsid w:val="00817315"/>
    <w:rsid w:val="0082146C"/>
    <w:rsid w:val="008217FB"/>
    <w:rsid w:val="00821E01"/>
    <w:rsid w:val="008225C9"/>
    <w:rsid w:val="00822631"/>
    <w:rsid w:val="00822A57"/>
    <w:rsid w:val="008234B0"/>
    <w:rsid w:val="00823521"/>
    <w:rsid w:val="00824CBF"/>
    <w:rsid w:val="008254AA"/>
    <w:rsid w:val="00825F93"/>
    <w:rsid w:val="00826653"/>
    <w:rsid w:val="00827DE9"/>
    <w:rsid w:val="00831E60"/>
    <w:rsid w:val="00832487"/>
    <w:rsid w:val="008348E4"/>
    <w:rsid w:val="0083498B"/>
    <w:rsid w:val="00834D1A"/>
    <w:rsid w:val="008351EE"/>
    <w:rsid w:val="00836007"/>
    <w:rsid w:val="00841729"/>
    <w:rsid w:val="00841AD3"/>
    <w:rsid w:val="008425D0"/>
    <w:rsid w:val="0084334C"/>
    <w:rsid w:val="00843642"/>
    <w:rsid w:val="00843AAA"/>
    <w:rsid w:val="00843E58"/>
    <w:rsid w:val="0084478E"/>
    <w:rsid w:val="00844A61"/>
    <w:rsid w:val="00844CC9"/>
    <w:rsid w:val="008457F6"/>
    <w:rsid w:val="0085019A"/>
    <w:rsid w:val="00850C1C"/>
    <w:rsid w:val="00851368"/>
    <w:rsid w:val="00851AD2"/>
    <w:rsid w:val="00851E89"/>
    <w:rsid w:val="00851F26"/>
    <w:rsid w:val="00852869"/>
    <w:rsid w:val="00854867"/>
    <w:rsid w:val="00856274"/>
    <w:rsid w:val="00856558"/>
    <w:rsid w:val="00856DB6"/>
    <w:rsid w:val="008572F7"/>
    <w:rsid w:val="008573DE"/>
    <w:rsid w:val="00857457"/>
    <w:rsid w:val="0085753E"/>
    <w:rsid w:val="00857F56"/>
    <w:rsid w:val="0086024D"/>
    <w:rsid w:val="00860487"/>
    <w:rsid w:val="008606E9"/>
    <w:rsid w:val="00860CD7"/>
    <w:rsid w:val="00860E0D"/>
    <w:rsid w:val="008613B8"/>
    <w:rsid w:val="0086339E"/>
    <w:rsid w:val="008642E9"/>
    <w:rsid w:val="00864921"/>
    <w:rsid w:val="0086664F"/>
    <w:rsid w:val="00866BFC"/>
    <w:rsid w:val="0086736A"/>
    <w:rsid w:val="008674B6"/>
    <w:rsid w:val="008676F3"/>
    <w:rsid w:val="00867D4F"/>
    <w:rsid w:val="00871B14"/>
    <w:rsid w:val="00871F8E"/>
    <w:rsid w:val="008721DD"/>
    <w:rsid w:val="00872276"/>
    <w:rsid w:val="00872E44"/>
    <w:rsid w:val="00873017"/>
    <w:rsid w:val="00873C21"/>
    <w:rsid w:val="00873F89"/>
    <w:rsid w:val="008740E2"/>
    <w:rsid w:val="00876268"/>
    <w:rsid w:val="008767E4"/>
    <w:rsid w:val="0087683D"/>
    <w:rsid w:val="00877121"/>
    <w:rsid w:val="00880BFC"/>
    <w:rsid w:val="00881271"/>
    <w:rsid w:val="00881B97"/>
    <w:rsid w:val="00881FC6"/>
    <w:rsid w:val="00882C99"/>
    <w:rsid w:val="00883945"/>
    <w:rsid w:val="008843C0"/>
    <w:rsid w:val="0088570E"/>
    <w:rsid w:val="00885AEF"/>
    <w:rsid w:val="008871BE"/>
    <w:rsid w:val="00887F56"/>
    <w:rsid w:val="008909A1"/>
    <w:rsid w:val="00890DB2"/>
    <w:rsid w:val="008923D0"/>
    <w:rsid w:val="0089240C"/>
    <w:rsid w:val="00892B7E"/>
    <w:rsid w:val="00892D09"/>
    <w:rsid w:val="008932FD"/>
    <w:rsid w:val="00893675"/>
    <w:rsid w:val="00894407"/>
    <w:rsid w:val="00895AF0"/>
    <w:rsid w:val="00895C97"/>
    <w:rsid w:val="0089639D"/>
    <w:rsid w:val="00896D79"/>
    <w:rsid w:val="00897D59"/>
    <w:rsid w:val="008A005F"/>
    <w:rsid w:val="008A159B"/>
    <w:rsid w:val="008A16BE"/>
    <w:rsid w:val="008A1B54"/>
    <w:rsid w:val="008A1DE9"/>
    <w:rsid w:val="008A401F"/>
    <w:rsid w:val="008A5A76"/>
    <w:rsid w:val="008A689A"/>
    <w:rsid w:val="008A6E06"/>
    <w:rsid w:val="008B2D5E"/>
    <w:rsid w:val="008B37DF"/>
    <w:rsid w:val="008B48C6"/>
    <w:rsid w:val="008B520B"/>
    <w:rsid w:val="008B564C"/>
    <w:rsid w:val="008B660A"/>
    <w:rsid w:val="008B6AC5"/>
    <w:rsid w:val="008B6E72"/>
    <w:rsid w:val="008B7F12"/>
    <w:rsid w:val="008C0CA6"/>
    <w:rsid w:val="008C0E21"/>
    <w:rsid w:val="008C119F"/>
    <w:rsid w:val="008C1CF8"/>
    <w:rsid w:val="008C1F4A"/>
    <w:rsid w:val="008C2A67"/>
    <w:rsid w:val="008C3587"/>
    <w:rsid w:val="008C45E1"/>
    <w:rsid w:val="008D0D8C"/>
    <w:rsid w:val="008D11E6"/>
    <w:rsid w:val="008D1C11"/>
    <w:rsid w:val="008D2D6C"/>
    <w:rsid w:val="008D3839"/>
    <w:rsid w:val="008D3A4A"/>
    <w:rsid w:val="008D3AE4"/>
    <w:rsid w:val="008D4009"/>
    <w:rsid w:val="008D4015"/>
    <w:rsid w:val="008D4571"/>
    <w:rsid w:val="008D4DCD"/>
    <w:rsid w:val="008D4E10"/>
    <w:rsid w:val="008D5677"/>
    <w:rsid w:val="008D6489"/>
    <w:rsid w:val="008D6C90"/>
    <w:rsid w:val="008D7010"/>
    <w:rsid w:val="008D7025"/>
    <w:rsid w:val="008D7C99"/>
    <w:rsid w:val="008D7F12"/>
    <w:rsid w:val="008E0238"/>
    <w:rsid w:val="008E1598"/>
    <w:rsid w:val="008E166F"/>
    <w:rsid w:val="008E3695"/>
    <w:rsid w:val="008E4093"/>
    <w:rsid w:val="008E4468"/>
    <w:rsid w:val="008E4DEC"/>
    <w:rsid w:val="008E4F2B"/>
    <w:rsid w:val="008E55AE"/>
    <w:rsid w:val="008E663F"/>
    <w:rsid w:val="008E67CE"/>
    <w:rsid w:val="008E6929"/>
    <w:rsid w:val="008E69BF"/>
    <w:rsid w:val="008E7DE7"/>
    <w:rsid w:val="008F0ABB"/>
    <w:rsid w:val="008F1200"/>
    <w:rsid w:val="008F1C35"/>
    <w:rsid w:val="008F1EF5"/>
    <w:rsid w:val="008F356B"/>
    <w:rsid w:val="008F38C7"/>
    <w:rsid w:val="008F3C4D"/>
    <w:rsid w:val="008F7446"/>
    <w:rsid w:val="008F760B"/>
    <w:rsid w:val="00900412"/>
    <w:rsid w:val="00900C1A"/>
    <w:rsid w:val="00901D10"/>
    <w:rsid w:val="009024D6"/>
    <w:rsid w:val="009032EB"/>
    <w:rsid w:val="009041C1"/>
    <w:rsid w:val="009051CC"/>
    <w:rsid w:val="009052FB"/>
    <w:rsid w:val="00905804"/>
    <w:rsid w:val="00906533"/>
    <w:rsid w:val="00906BA4"/>
    <w:rsid w:val="009070F0"/>
    <w:rsid w:val="00910F15"/>
    <w:rsid w:val="0091110C"/>
    <w:rsid w:val="00911647"/>
    <w:rsid w:val="00912E97"/>
    <w:rsid w:val="0091372C"/>
    <w:rsid w:val="0091565C"/>
    <w:rsid w:val="00915A66"/>
    <w:rsid w:val="00915D04"/>
    <w:rsid w:val="00915EEF"/>
    <w:rsid w:val="009170F7"/>
    <w:rsid w:val="00920686"/>
    <w:rsid w:val="0092157F"/>
    <w:rsid w:val="00921681"/>
    <w:rsid w:val="00921962"/>
    <w:rsid w:val="00921EC0"/>
    <w:rsid w:val="00922425"/>
    <w:rsid w:val="009236D4"/>
    <w:rsid w:val="00926242"/>
    <w:rsid w:val="009273EC"/>
    <w:rsid w:val="009312F8"/>
    <w:rsid w:val="00931305"/>
    <w:rsid w:val="00931A6A"/>
    <w:rsid w:val="009320FA"/>
    <w:rsid w:val="0093363E"/>
    <w:rsid w:val="009347AE"/>
    <w:rsid w:val="00934B2D"/>
    <w:rsid w:val="009367E2"/>
    <w:rsid w:val="0093722E"/>
    <w:rsid w:val="00937495"/>
    <w:rsid w:val="00937828"/>
    <w:rsid w:val="00937EDF"/>
    <w:rsid w:val="00937F69"/>
    <w:rsid w:val="0094019D"/>
    <w:rsid w:val="00940E1A"/>
    <w:rsid w:val="0094223C"/>
    <w:rsid w:val="00942F2E"/>
    <w:rsid w:val="00944F98"/>
    <w:rsid w:val="00945544"/>
    <w:rsid w:val="00945A9B"/>
    <w:rsid w:val="00945C87"/>
    <w:rsid w:val="009507EE"/>
    <w:rsid w:val="009509E9"/>
    <w:rsid w:val="00950C03"/>
    <w:rsid w:val="00951854"/>
    <w:rsid w:val="00951EEA"/>
    <w:rsid w:val="009523EE"/>
    <w:rsid w:val="009525E5"/>
    <w:rsid w:val="00952A72"/>
    <w:rsid w:val="00955FBB"/>
    <w:rsid w:val="00956692"/>
    <w:rsid w:val="00957DF4"/>
    <w:rsid w:val="00960C1E"/>
    <w:rsid w:val="00960E2D"/>
    <w:rsid w:val="00961036"/>
    <w:rsid w:val="00962215"/>
    <w:rsid w:val="009623C7"/>
    <w:rsid w:val="00964535"/>
    <w:rsid w:val="00966717"/>
    <w:rsid w:val="009672A3"/>
    <w:rsid w:val="00967B27"/>
    <w:rsid w:val="00967B39"/>
    <w:rsid w:val="009704E5"/>
    <w:rsid w:val="009707C5"/>
    <w:rsid w:val="00970E29"/>
    <w:rsid w:val="00972F5C"/>
    <w:rsid w:val="00972FCE"/>
    <w:rsid w:val="009735E6"/>
    <w:rsid w:val="0097365F"/>
    <w:rsid w:val="00973B58"/>
    <w:rsid w:val="00973DB7"/>
    <w:rsid w:val="009745FE"/>
    <w:rsid w:val="00975B3E"/>
    <w:rsid w:val="00975EE0"/>
    <w:rsid w:val="00976110"/>
    <w:rsid w:val="00977A94"/>
    <w:rsid w:val="009813A9"/>
    <w:rsid w:val="009815CD"/>
    <w:rsid w:val="009816AF"/>
    <w:rsid w:val="0098193C"/>
    <w:rsid w:val="00981EAD"/>
    <w:rsid w:val="00981EBA"/>
    <w:rsid w:val="0098301A"/>
    <w:rsid w:val="00983E59"/>
    <w:rsid w:val="00984DC8"/>
    <w:rsid w:val="009852AA"/>
    <w:rsid w:val="009852B1"/>
    <w:rsid w:val="0098781B"/>
    <w:rsid w:val="0099006D"/>
    <w:rsid w:val="00994972"/>
    <w:rsid w:val="00994DDF"/>
    <w:rsid w:val="00994EB9"/>
    <w:rsid w:val="00995920"/>
    <w:rsid w:val="00995FE2"/>
    <w:rsid w:val="00996B5E"/>
    <w:rsid w:val="00996E99"/>
    <w:rsid w:val="00996F71"/>
    <w:rsid w:val="009978A4"/>
    <w:rsid w:val="009A2576"/>
    <w:rsid w:val="009A2FD9"/>
    <w:rsid w:val="009A300E"/>
    <w:rsid w:val="009A38B6"/>
    <w:rsid w:val="009A59F3"/>
    <w:rsid w:val="009A63B9"/>
    <w:rsid w:val="009A68A0"/>
    <w:rsid w:val="009B202B"/>
    <w:rsid w:val="009B30B6"/>
    <w:rsid w:val="009B3B58"/>
    <w:rsid w:val="009B3C01"/>
    <w:rsid w:val="009B42BB"/>
    <w:rsid w:val="009B4623"/>
    <w:rsid w:val="009B4A40"/>
    <w:rsid w:val="009B5248"/>
    <w:rsid w:val="009B5E8F"/>
    <w:rsid w:val="009B68BF"/>
    <w:rsid w:val="009B6C74"/>
    <w:rsid w:val="009B73F1"/>
    <w:rsid w:val="009B7BF3"/>
    <w:rsid w:val="009C0F54"/>
    <w:rsid w:val="009C2327"/>
    <w:rsid w:val="009C34FD"/>
    <w:rsid w:val="009C5181"/>
    <w:rsid w:val="009C6626"/>
    <w:rsid w:val="009C72D3"/>
    <w:rsid w:val="009C7430"/>
    <w:rsid w:val="009D045B"/>
    <w:rsid w:val="009D05DF"/>
    <w:rsid w:val="009D1AE9"/>
    <w:rsid w:val="009D2206"/>
    <w:rsid w:val="009D325B"/>
    <w:rsid w:val="009D36DA"/>
    <w:rsid w:val="009D3BAC"/>
    <w:rsid w:val="009D3C8E"/>
    <w:rsid w:val="009D4FE9"/>
    <w:rsid w:val="009D594F"/>
    <w:rsid w:val="009D624F"/>
    <w:rsid w:val="009D694A"/>
    <w:rsid w:val="009E0C7F"/>
    <w:rsid w:val="009E1997"/>
    <w:rsid w:val="009E1CE8"/>
    <w:rsid w:val="009E3539"/>
    <w:rsid w:val="009E4092"/>
    <w:rsid w:val="009E4956"/>
    <w:rsid w:val="009E65DD"/>
    <w:rsid w:val="009F0C46"/>
    <w:rsid w:val="009F1D78"/>
    <w:rsid w:val="009F2698"/>
    <w:rsid w:val="009F2716"/>
    <w:rsid w:val="009F2DBE"/>
    <w:rsid w:val="009F360C"/>
    <w:rsid w:val="009F3CD6"/>
    <w:rsid w:val="009F3D34"/>
    <w:rsid w:val="009F4D80"/>
    <w:rsid w:val="009F4FB2"/>
    <w:rsid w:val="009F5289"/>
    <w:rsid w:val="009F5514"/>
    <w:rsid w:val="009F665C"/>
    <w:rsid w:val="009F7ECF"/>
    <w:rsid w:val="00A0023F"/>
    <w:rsid w:val="00A015E5"/>
    <w:rsid w:val="00A01D56"/>
    <w:rsid w:val="00A040C3"/>
    <w:rsid w:val="00A042C1"/>
    <w:rsid w:val="00A048BC"/>
    <w:rsid w:val="00A04B90"/>
    <w:rsid w:val="00A06651"/>
    <w:rsid w:val="00A07979"/>
    <w:rsid w:val="00A10DCB"/>
    <w:rsid w:val="00A11AAE"/>
    <w:rsid w:val="00A11F5B"/>
    <w:rsid w:val="00A12814"/>
    <w:rsid w:val="00A12E1E"/>
    <w:rsid w:val="00A12FDA"/>
    <w:rsid w:val="00A13688"/>
    <w:rsid w:val="00A1423C"/>
    <w:rsid w:val="00A14908"/>
    <w:rsid w:val="00A14B51"/>
    <w:rsid w:val="00A16052"/>
    <w:rsid w:val="00A17475"/>
    <w:rsid w:val="00A20C39"/>
    <w:rsid w:val="00A2102A"/>
    <w:rsid w:val="00A21160"/>
    <w:rsid w:val="00A2168A"/>
    <w:rsid w:val="00A216AA"/>
    <w:rsid w:val="00A2183E"/>
    <w:rsid w:val="00A21F4C"/>
    <w:rsid w:val="00A2308A"/>
    <w:rsid w:val="00A236E1"/>
    <w:rsid w:val="00A241C8"/>
    <w:rsid w:val="00A253DC"/>
    <w:rsid w:val="00A25BCB"/>
    <w:rsid w:val="00A265CE"/>
    <w:rsid w:val="00A27932"/>
    <w:rsid w:val="00A30A91"/>
    <w:rsid w:val="00A3103C"/>
    <w:rsid w:val="00A3295F"/>
    <w:rsid w:val="00A32FCA"/>
    <w:rsid w:val="00A33D1E"/>
    <w:rsid w:val="00A34C6F"/>
    <w:rsid w:val="00A34D46"/>
    <w:rsid w:val="00A35654"/>
    <w:rsid w:val="00A369A6"/>
    <w:rsid w:val="00A36D82"/>
    <w:rsid w:val="00A373F4"/>
    <w:rsid w:val="00A37B44"/>
    <w:rsid w:val="00A40368"/>
    <w:rsid w:val="00A40B7C"/>
    <w:rsid w:val="00A42A24"/>
    <w:rsid w:val="00A42C4C"/>
    <w:rsid w:val="00A43EB7"/>
    <w:rsid w:val="00A44FDC"/>
    <w:rsid w:val="00A44FEF"/>
    <w:rsid w:val="00A45FEF"/>
    <w:rsid w:val="00A464AC"/>
    <w:rsid w:val="00A472D6"/>
    <w:rsid w:val="00A47A34"/>
    <w:rsid w:val="00A5008B"/>
    <w:rsid w:val="00A5112F"/>
    <w:rsid w:val="00A516FD"/>
    <w:rsid w:val="00A5173B"/>
    <w:rsid w:val="00A51B24"/>
    <w:rsid w:val="00A52A81"/>
    <w:rsid w:val="00A53367"/>
    <w:rsid w:val="00A56195"/>
    <w:rsid w:val="00A56364"/>
    <w:rsid w:val="00A60422"/>
    <w:rsid w:val="00A618EF"/>
    <w:rsid w:val="00A62856"/>
    <w:rsid w:val="00A64045"/>
    <w:rsid w:val="00A640E4"/>
    <w:rsid w:val="00A64DFC"/>
    <w:rsid w:val="00A6622C"/>
    <w:rsid w:val="00A67456"/>
    <w:rsid w:val="00A7110F"/>
    <w:rsid w:val="00A7114C"/>
    <w:rsid w:val="00A72EB5"/>
    <w:rsid w:val="00A7382F"/>
    <w:rsid w:val="00A73B8C"/>
    <w:rsid w:val="00A74286"/>
    <w:rsid w:val="00A74CD2"/>
    <w:rsid w:val="00A74DE5"/>
    <w:rsid w:val="00A75277"/>
    <w:rsid w:val="00A752FE"/>
    <w:rsid w:val="00A779DC"/>
    <w:rsid w:val="00A810AB"/>
    <w:rsid w:val="00A812B5"/>
    <w:rsid w:val="00A818E2"/>
    <w:rsid w:val="00A82FE0"/>
    <w:rsid w:val="00A837B1"/>
    <w:rsid w:val="00A83A72"/>
    <w:rsid w:val="00A83F37"/>
    <w:rsid w:val="00A8431B"/>
    <w:rsid w:val="00A8482E"/>
    <w:rsid w:val="00A84C96"/>
    <w:rsid w:val="00A84F27"/>
    <w:rsid w:val="00A86D92"/>
    <w:rsid w:val="00A86DF5"/>
    <w:rsid w:val="00A87560"/>
    <w:rsid w:val="00A90D09"/>
    <w:rsid w:val="00A91ABA"/>
    <w:rsid w:val="00A91BE5"/>
    <w:rsid w:val="00A920A8"/>
    <w:rsid w:val="00A94A83"/>
    <w:rsid w:val="00A95275"/>
    <w:rsid w:val="00A9535D"/>
    <w:rsid w:val="00A97002"/>
    <w:rsid w:val="00A97531"/>
    <w:rsid w:val="00A97A29"/>
    <w:rsid w:val="00A97EE2"/>
    <w:rsid w:val="00AA0A98"/>
    <w:rsid w:val="00AA1525"/>
    <w:rsid w:val="00AA1F2C"/>
    <w:rsid w:val="00AA2025"/>
    <w:rsid w:val="00AA2334"/>
    <w:rsid w:val="00AA2506"/>
    <w:rsid w:val="00AA27DA"/>
    <w:rsid w:val="00AA3328"/>
    <w:rsid w:val="00AA471D"/>
    <w:rsid w:val="00AA4EF1"/>
    <w:rsid w:val="00AA581F"/>
    <w:rsid w:val="00AA598D"/>
    <w:rsid w:val="00AA5AE7"/>
    <w:rsid w:val="00AA7092"/>
    <w:rsid w:val="00AA78DC"/>
    <w:rsid w:val="00AB041C"/>
    <w:rsid w:val="00AB1270"/>
    <w:rsid w:val="00AB199C"/>
    <w:rsid w:val="00AB1FA3"/>
    <w:rsid w:val="00AB52DB"/>
    <w:rsid w:val="00AB534B"/>
    <w:rsid w:val="00AB664E"/>
    <w:rsid w:val="00AB7948"/>
    <w:rsid w:val="00AB7B43"/>
    <w:rsid w:val="00AB7E17"/>
    <w:rsid w:val="00AC039F"/>
    <w:rsid w:val="00AC41B5"/>
    <w:rsid w:val="00AC5877"/>
    <w:rsid w:val="00AC6469"/>
    <w:rsid w:val="00AC679B"/>
    <w:rsid w:val="00AC70D9"/>
    <w:rsid w:val="00AD134F"/>
    <w:rsid w:val="00AD287A"/>
    <w:rsid w:val="00AD4328"/>
    <w:rsid w:val="00AD44F6"/>
    <w:rsid w:val="00AD6239"/>
    <w:rsid w:val="00AD6388"/>
    <w:rsid w:val="00AD75A9"/>
    <w:rsid w:val="00AD777E"/>
    <w:rsid w:val="00AD7D57"/>
    <w:rsid w:val="00AD7E03"/>
    <w:rsid w:val="00AD7F25"/>
    <w:rsid w:val="00AE224C"/>
    <w:rsid w:val="00AE3650"/>
    <w:rsid w:val="00AE3AC5"/>
    <w:rsid w:val="00AE47C7"/>
    <w:rsid w:val="00AE4853"/>
    <w:rsid w:val="00AE49F8"/>
    <w:rsid w:val="00AE56FA"/>
    <w:rsid w:val="00AE5B27"/>
    <w:rsid w:val="00AE6801"/>
    <w:rsid w:val="00AE6E53"/>
    <w:rsid w:val="00AE6EDD"/>
    <w:rsid w:val="00AF0EAF"/>
    <w:rsid w:val="00AF1352"/>
    <w:rsid w:val="00AF1CA3"/>
    <w:rsid w:val="00AF1CEF"/>
    <w:rsid w:val="00AF26F7"/>
    <w:rsid w:val="00AF5886"/>
    <w:rsid w:val="00AF67B4"/>
    <w:rsid w:val="00AF6B65"/>
    <w:rsid w:val="00AF738F"/>
    <w:rsid w:val="00B01222"/>
    <w:rsid w:val="00B0187F"/>
    <w:rsid w:val="00B0357F"/>
    <w:rsid w:val="00B03E07"/>
    <w:rsid w:val="00B041F4"/>
    <w:rsid w:val="00B047A5"/>
    <w:rsid w:val="00B04BD3"/>
    <w:rsid w:val="00B070CE"/>
    <w:rsid w:val="00B076F6"/>
    <w:rsid w:val="00B11192"/>
    <w:rsid w:val="00B12193"/>
    <w:rsid w:val="00B1267E"/>
    <w:rsid w:val="00B12832"/>
    <w:rsid w:val="00B128B5"/>
    <w:rsid w:val="00B1307E"/>
    <w:rsid w:val="00B13CF4"/>
    <w:rsid w:val="00B14AB5"/>
    <w:rsid w:val="00B14EA7"/>
    <w:rsid w:val="00B16275"/>
    <w:rsid w:val="00B165CE"/>
    <w:rsid w:val="00B21369"/>
    <w:rsid w:val="00B22721"/>
    <w:rsid w:val="00B2409C"/>
    <w:rsid w:val="00B24184"/>
    <w:rsid w:val="00B24C9B"/>
    <w:rsid w:val="00B254C6"/>
    <w:rsid w:val="00B25B82"/>
    <w:rsid w:val="00B26F08"/>
    <w:rsid w:val="00B33732"/>
    <w:rsid w:val="00B33834"/>
    <w:rsid w:val="00B33D58"/>
    <w:rsid w:val="00B357D4"/>
    <w:rsid w:val="00B36132"/>
    <w:rsid w:val="00B366A0"/>
    <w:rsid w:val="00B376C0"/>
    <w:rsid w:val="00B403DC"/>
    <w:rsid w:val="00B40620"/>
    <w:rsid w:val="00B40C82"/>
    <w:rsid w:val="00B42F80"/>
    <w:rsid w:val="00B4451A"/>
    <w:rsid w:val="00B44F9B"/>
    <w:rsid w:val="00B458D2"/>
    <w:rsid w:val="00B477AA"/>
    <w:rsid w:val="00B47E81"/>
    <w:rsid w:val="00B5040D"/>
    <w:rsid w:val="00B511B1"/>
    <w:rsid w:val="00B511C4"/>
    <w:rsid w:val="00B51A91"/>
    <w:rsid w:val="00B539A8"/>
    <w:rsid w:val="00B53D88"/>
    <w:rsid w:val="00B53EB1"/>
    <w:rsid w:val="00B554D3"/>
    <w:rsid w:val="00B56174"/>
    <w:rsid w:val="00B57E44"/>
    <w:rsid w:val="00B60981"/>
    <w:rsid w:val="00B60B2D"/>
    <w:rsid w:val="00B61605"/>
    <w:rsid w:val="00B6174C"/>
    <w:rsid w:val="00B6238A"/>
    <w:rsid w:val="00B627F4"/>
    <w:rsid w:val="00B62912"/>
    <w:rsid w:val="00B62AD5"/>
    <w:rsid w:val="00B65B37"/>
    <w:rsid w:val="00B72325"/>
    <w:rsid w:val="00B72880"/>
    <w:rsid w:val="00B73637"/>
    <w:rsid w:val="00B73A57"/>
    <w:rsid w:val="00B76C4A"/>
    <w:rsid w:val="00B77597"/>
    <w:rsid w:val="00B775A7"/>
    <w:rsid w:val="00B803A2"/>
    <w:rsid w:val="00B80D86"/>
    <w:rsid w:val="00B8119C"/>
    <w:rsid w:val="00B835EA"/>
    <w:rsid w:val="00B839C8"/>
    <w:rsid w:val="00B86009"/>
    <w:rsid w:val="00B87131"/>
    <w:rsid w:val="00B87DD9"/>
    <w:rsid w:val="00B92720"/>
    <w:rsid w:val="00B92AD3"/>
    <w:rsid w:val="00B94010"/>
    <w:rsid w:val="00B94097"/>
    <w:rsid w:val="00B95335"/>
    <w:rsid w:val="00B96275"/>
    <w:rsid w:val="00B9631C"/>
    <w:rsid w:val="00B97B96"/>
    <w:rsid w:val="00BA01E3"/>
    <w:rsid w:val="00BA06B2"/>
    <w:rsid w:val="00BA075F"/>
    <w:rsid w:val="00BA0926"/>
    <w:rsid w:val="00BA0C46"/>
    <w:rsid w:val="00BA19EA"/>
    <w:rsid w:val="00BA225A"/>
    <w:rsid w:val="00BA2F73"/>
    <w:rsid w:val="00BA329C"/>
    <w:rsid w:val="00BA38CD"/>
    <w:rsid w:val="00BA3E6D"/>
    <w:rsid w:val="00BA48F6"/>
    <w:rsid w:val="00BA54F5"/>
    <w:rsid w:val="00BA60B8"/>
    <w:rsid w:val="00BA61B0"/>
    <w:rsid w:val="00BA749B"/>
    <w:rsid w:val="00BA7672"/>
    <w:rsid w:val="00BA7C08"/>
    <w:rsid w:val="00BA7FA9"/>
    <w:rsid w:val="00BB14A0"/>
    <w:rsid w:val="00BB151C"/>
    <w:rsid w:val="00BB1A88"/>
    <w:rsid w:val="00BB1B23"/>
    <w:rsid w:val="00BB1F27"/>
    <w:rsid w:val="00BB30AB"/>
    <w:rsid w:val="00BB461B"/>
    <w:rsid w:val="00BB486E"/>
    <w:rsid w:val="00BB5FED"/>
    <w:rsid w:val="00BB62A9"/>
    <w:rsid w:val="00BB7CA0"/>
    <w:rsid w:val="00BC044D"/>
    <w:rsid w:val="00BC0A4E"/>
    <w:rsid w:val="00BC123D"/>
    <w:rsid w:val="00BC14C9"/>
    <w:rsid w:val="00BC1E01"/>
    <w:rsid w:val="00BC3EDC"/>
    <w:rsid w:val="00BC4CBA"/>
    <w:rsid w:val="00BC5902"/>
    <w:rsid w:val="00BC5D8D"/>
    <w:rsid w:val="00BC6403"/>
    <w:rsid w:val="00BC7AF1"/>
    <w:rsid w:val="00BC7F2C"/>
    <w:rsid w:val="00BD030B"/>
    <w:rsid w:val="00BD0F4E"/>
    <w:rsid w:val="00BD0F79"/>
    <w:rsid w:val="00BD2329"/>
    <w:rsid w:val="00BD2469"/>
    <w:rsid w:val="00BD2809"/>
    <w:rsid w:val="00BD3554"/>
    <w:rsid w:val="00BD3719"/>
    <w:rsid w:val="00BD3C18"/>
    <w:rsid w:val="00BD430D"/>
    <w:rsid w:val="00BD4EF8"/>
    <w:rsid w:val="00BD4FFF"/>
    <w:rsid w:val="00BD5325"/>
    <w:rsid w:val="00BD6424"/>
    <w:rsid w:val="00BD7B4D"/>
    <w:rsid w:val="00BE11A5"/>
    <w:rsid w:val="00BE1A18"/>
    <w:rsid w:val="00BE1DCB"/>
    <w:rsid w:val="00BE2DEC"/>
    <w:rsid w:val="00BE42B5"/>
    <w:rsid w:val="00BE4709"/>
    <w:rsid w:val="00BE4C2D"/>
    <w:rsid w:val="00BE5737"/>
    <w:rsid w:val="00BE615D"/>
    <w:rsid w:val="00BE6A94"/>
    <w:rsid w:val="00BE6DE0"/>
    <w:rsid w:val="00BF06D9"/>
    <w:rsid w:val="00BF0A87"/>
    <w:rsid w:val="00BF1407"/>
    <w:rsid w:val="00BF162C"/>
    <w:rsid w:val="00BF1830"/>
    <w:rsid w:val="00BF1E89"/>
    <w:rsid w:val="00BF25A0"/>
    <w:rsid w:val="00BF2649"/>
    <w:rsid w:val="00BF2D1A"/>
    <w:rsid w:val="00BF633C"/>
    <w:rsid w:val="00BF7A8C"/>
    <w:rsid w:val="00BF7D3F"/>
    <w:rsid w:val="00C004C8"/>
    <w:rsid w:val="00C0297C"/>
    <w:rsid w:val="00C029B2"/>
    <w:rsid w:val="00C032A8"/>
    <w:rsid w:val="00C03BB9"/>
    <w:rsid w:val="00C04487"/>
    <w:rsid w:val="00C04F43"/>
    <w:rsid w:val="00C05B04"/>
    <w:rsid w:val="00C10594"/>
    <w:rsid w:val="00C106B0"/>
    <w:rsid w:val="00C11FA2"/>
    <w:rsid w:val="00C12867"/>
    <w:rsid w:val="00C12AAF"/>
    <w:rsid w:val="00C13610"/>
    <w:rsid w:val="00C13C7A"/>
    <w:rsid w:val="00C14B7E"/>
    <w:rsid w:val="00C14C1B"/>
    <w:rsid w:val="00C15218"/>
    <w:rsid w:val="00C15387"/>
    <w:rsid w:val="00C16DF1"/>
    <w:rsid w:val="00C17326"/>
    <w:rsid w:val="00C21726"/>
    <w:rsid w:val="00C21B95"/>
    <w:rsid w:val="00C22435"/>
    <w:rsid w:val="00C22E4F"/>
    <w:rsid w:val="00C23C1E"/>
    <w:rsid w:val="00C24966"/>
    <w:rsid w:val="00C24A4E"/>
    <w:rsid w:val="00C25464"/>
    <w:rsid w:val="00C26E07"/>
    <w:rsid w:val="00C27666"/>
    <w:rsid w:val="00C30691"/>
    <w:rsid w:val="00C3083F"/>
    <w:rsid w:val="00C30CAB"/>
    <w:rsid w:val="00C317BD"/>
    <w:rsid w:val="00C31F6E"/>
    <w:rsid w:val="00C33684"/>
    <w:rsid w:val="00C340E1"/>
    <w:rsid w:val="00C35260"/>
    <w:rsid w:val="00C355D8"/>
    <w:rsid w:val="00C36613"/>
    <w:rsid w:val="00C36A1E"/>
    <w:rsid w:val="00C3755F"/>
    <w:rsid w:val="00C401DB"/>
    <w:rsid w:val="00C42AC6"/>
    <w:rsid w:val="00C42CC5"/>
    <w:rsid w:val="00C4359B"/>
    <w:rsid w:val="00C44187"/>
    <w:rsid w:val="00C453CA"/>
    <w:rsid w:val="00C50251"/>
    <w:rsid w:val="00C52410"/>
    <w:rsid w:val="00C52D52"/>
    <w:rsid w:val="00C52F79"/>
    <w:rsid w:val="00C52FFB"/>
    <w:rsid w:val="00C541DF"/>
    <w:rsid w:val="00C55BB0"/>
    <w:rsid w:val="00C563DA"/>
    <w:rsid w:val="00C6058A"/>
    <w:rsid w:val="00C61D7F"/>
    <w:rsid w:val="00C644E8"/>
    <w:rsid w:val="00C64F2A"/>
    <w:rsid w:val="00C67F18"/>
    <w:rsid w:val="00C70692"/>
    <w:rsid w:val="00C709C9"/>
    <w:rsid w:val="00C74624"/>
    <w:rsid w:val="00C7467C"/>
    <w:rsid w:val="00C7477A"/>
    <w:rsid w:val="00C82706"/>
    <w:rsid w:val="00C82A59"/>
    <w:rsid w:val="00C82A62"/>
    <w:rsid w:val="00C83B74"/>
    <w:rsid w:val="00C83EBC"/>
    <w:rsid w:val="00C8518D"/>
    <w:rsid w:val="00C87016"/>
    <w:rsid w:val="00C87017"/>
    <w:rsid w:val="00C8752A"/>
    <w:rsid w:val="00C87C09"/>
    <w:rsid w:val="00C90EC0"/>
    <w:rsid w:val="00C91C6A"/>
    <w:rsid w:val="00C92F15"/>
    <w:rsid w:val="00C93119"/>
    <w:rsid w:val="00C95248"/>
    <w:rsid w:val="00C95CB5"/>
    <w:rsid w:val="00C95E4E"/>
    <w:rsid w:val="00C95EDC"/>
    <w:rsid w:val="00C96108"/>
    <w:rsid w:val="00C97029"/>
    <w:rsid w:val="00C9717D"/>
    <w:rsid w:val="00C97429"/>
    <w:rsid w:val="00CA0A36"/>
    <w:rsid w:val="00CA0B80"/>
    <w:rsid w:val="00CA13B1"/>
    <w:rsid w:val="00CA2945"/>
    <w:rsid w:val="00CA2DE9"/>
    <w:rsid w:val="00CA2E69"/>
    <w:rsid w:val="00CA302F"/>
    <w:rsid w:val="00CA3B94"/>
    <w:rsid w:val="00CA60AE"/>
    <w:rsid w:val="00CA6A76"/>
    <w:rsid w:val="00CA7707"/>
    <w:rsid w:val="00CB0D81"/>
    <w:rsid w:val="00CB14C6"/>
    <w:rsid w:val="00CB2C07"/>
    <w:rsid w:val="00CB399B"/>
    <w:rsid w:val="00CB5CC5"/>
    <w:rsid w:val="00CB5D8C"/>
    <w:rsid w:val="00CB6128"/>
    <w:rsid w:val="00CB63E6"/>
    <w:rsid w:val="00CB78CF"/>
    <w:rsid w:val="00CB7F3D"/>
    <w:rsid w:val="00CC1086"/>
    <w:rsid w:val="00CC1A1D"/>
    <w:rsid w:val="00CC1C33"/>
    <w:rsid w:val="00CC283E"/>
    <w:rsid w:val="00CC2DD1"/>
    <w:rsid w:val="00CC44E1"/>
    <w:rsid w:val="00CC52F1"/>
    <w:rsid w:val="00CC59CB"/>
    <w:rsid w:val="00CC7632"/>
    <w:rsid w:val="00CC792A"/>
    <w:rsid w:val="00CD1DF0"/>
    <w:rsid w:val="00CD24C7"/>
    <w:rsid w:val="00CD2FE3"/>
    <w:rsid w:val="00CD3F8F"/>
    <w:rsid w:val="00CD4B5B"/>
    <w:rsid w:val="00CD5893"/>
    <w:rsid w:val="00CD63BE"/>
    <w:rsid w:val="00CD68B7"/>
    <w:rsid w:val="00CD7B3C"/>
    <w:rsid w:val="00CD7D80"/>
    <w:rsid w:val="00CD7E5D"/>
    <w:rsid w:val="00CE0E1C"/>
    <w:rsid w:val="00CE1B42"/>
    <w:rsid w:val="00CE5873"/>
    <w:rsid w:val="00CF13F0"/>
    <w:rsid w:val="00CF14E7"/>
    <w:rsid w:val="00CF3F9F"/>
    <w:rsid w:val="00CF57D1"/>
    <w:rsid w:val="00CF6310"/>
    <w:rsid w:val="00D0135E"/>
    <w:rsid w:val="00D0163C"/>
    <w:rsid w:val="00D02360"/>
    <w:rsid w:val="00D02D1B"/>
    <w:rsid w:val="00D0431C"/>
    <w:rsid w:val="00D0446D"/>
    <w:rsid w:val="00D04DEE"/>
    <w:rsid w:val="00D050E6"/>
    <w:rsid w:val="00D07407"/>
    <w:rsid w:val="00D07D6B"/>
    <w:rsid w:val="00D1025E"/>
    <w:rsid w:val="00D105A4"/>
    <w:rsid w:val="00D10F62"/>
    <w:rsid w:val="00D111F9"/>
    <w:rsid w:val="00D125AA"/>
    <w:rsid w:val="00D14746"/>
    <w:rsid w:val="00D151B2"/>
    <w:rsid w:val="00D15DF7"/>
    <w:rsid w:val="00D17B1D"/>
    <w:rsid w:val="00D20D36"/>
    <w:rsid w:val="00D223AB"/>
    <w:rsid w:val="00D2280F"/>
    <w:rsid w:val="00D22E25"/>
    <w:rsid w:val="00D232BB"/>
    <w:rsid w:val="00D23658"/>
    <w:rsid w:val="00D26858"/>
    <w:rsid w:val="00D27FF6"/>
    <w:rsid w:val="00D31089"/>
    <w:rsid w:val="00D31935"/>
    <w:rsid w:val="00D3279E"/>
    <w:rsid w:val="00D337A8"/>
    <w:rsid w:val="00D339E7"/>
    <w:rsid w:val="00D353B6"/>
    <w:rsid w:val="00D406B6"/>
    <w:rsid w:val="00D412A4"/>
    <w:rsid w:val="00D41EF1"/>
    <w:rsid w:val="00D4305F"/>
    <w:rsid w:val="00D440B2"/>
    <w:rsid w:val="00D4437B"/>
    <w:rsid w:val="00D44AD4"/>
    <w:rsid w:val="00D45375"/>
    <w:rsid w:val="00D4548E"/>
    <w:rsid w:val="00D46D9A"/>
    <w:rsid w:val="00D47A86"/>
    <w:rsid w:val="00D50962"/>
    <w:rsid w:val="00D50E02"/>
    <w:rsid w:val="00D51945"/>
    <w:rsid w:val="00D51A79"/>
    <w:rsid w:val="00D5234C"/>
    <w:rsid w:val="00D53996"/>
    <w:rsid w:val="00D53C0D"/>
    <w:rsid w:val="00D53DD9"/>
    <w:rsid w:val="00D5506A"/>
    <w:rsid w:val="00D558D4"/>
    <w:rsid w:val="00D568D5"/>
    <w:rsid w:val="00D56EC7"/>
    <w:rsid w:val="00D61C52"/>
    <w:rsid w:val="00D621DB"/>
    <w:rsid w:val="00D62EAF"/>
    <w:rsid w:val="00D636DA"/>
    <w:rsid w:val="00D63869"/>
    <w:rsid w:val="00D639C6"/>
    <w:rsid w:val="00D65B4D"/>
    <w:rsid w:val="00D65EE9"/>
    <w:rsid w:val="00D65FAE"/>
    <w:rsid w:val="00D66059"/>
    <w:rsid w:val="00D66254"/>
    <w:rsid w:val="00D66A92"/>
    <w:rsid w:val="00D672B7"/>
    <w:rsid w:val="00D676A6"/>
    <w:rsid w:val="00D70818"/>
    <w:rsid w:val="00D70FFB"/>
    <w:rsid w:val="00D71190"/>
    <w:rsid w:val="00D7136A"/>
    <w:rsid w:val="00D71CE0"/>
    <w:rsid w:val="00D721AE"/>
    <w:rsid w:val="00D7224A"/>
    <w:rsid w:val="00D72BDE"/>
    <w:rsid w:val="00D733A5"/>
    <w:rsid w:val="00D74192"/>
    <w:rsid w:val="00D75577"/>
    <w:rsid w:val="00D75CE7"/>
    <w:rsid w:val="00D80814"/>
    <w:rsid w:val="00D81723"/>
    <w:rsid w:val="00D8217D"/>
    <w:rsid w:val="00D825C6"/>
    <w:rsid w:val="00D82A4B"/>
    <w:rsid w:val="00D83907"/>
    <w:rsid w:val="00D84222"/>
    <w:rsid w:val="00D84AC0"/>
    <w:rsid w:val="00D85693"/>
    <w:rsid w:val="00D86B02"/>
    <w:rsid w:val="00D87332"/>
    <w:rsid w:val="00D907AE"/>
    <w:rsid w:val="00D90CB1"/>
    <w:rsid w:val="00D9157D"/>
    <w:rsid w:val="00D92432"/>
    <w:rsid w:val="00D930B8"/>
    <w:rsid w:val="00D93747"/>
    <w:rsid w:val="00D943C4"/>
    <w:rsid w:val="00D94546"/>
    <w:rsid w:val="00D962EA"/>
    <w:rsid w:val="00D9647E"/>
    <w:rsid w:val="00D96BBA"/>
    <w:rsid w:val="00D975BC"/>
    <w:rsid w:val="00D97E54"/>
    <w:rsid w:val="00DA034F"/>
    <w:rsid w:val="00DA0719"/>
    <w:rsid w:val="00DA1500"/>
    <w:rsid w:val="00DA2EE4"/>
    <w:rsid w:val="00DA3582"/>
    <w:rsid w:val="00DA44F1"/>
    <w:rsid w:val="00DA5769"/>
    <w:rsid w:val="00DA59B1"/>
    <w:rsid w:val="00DA6B0D"/>
    <w:rsid w:val="00DB0259"/>
    <w:rsid w:val="00DB07B7"/>
    <w:rsid w:val="00DB1161"/>
    <w:rsid w:val="00DB2061"/>
    <w:rsid w:val="00DB31AB"/>
    <w:rsid w:val="00DB3B2C"/>
    <w:rsid w:val="00DB3E90"/>
    <w:rsid w:val="00DB45FF"/>
    <w:rsid w:val="00DB618B"/>
    <w:rsid w:val="00DB6941"/>
    <w:rsid w:val="00DB6A22"/>
    <w:rsid w:val="00DB6B1B"/>
    <w:rsid w:val="00DB74D1"/>
    <w:rsid w:val="00DB79FD"/>
    <w:rsid w:val="00DB7C9F"/>
    <w:rsid w:val="00DC0303"/>
    <w:rsid w:val="00DC15D6"/>
    <w:rsid w:val="00DC6BB7"/>
    <w:rsid w:val="00DC7212"/>
    <w:rsid w:val="00DC7C2F"/>
    <w:rsid w:val="00DD0EB9"/>
    <w:rsid w:val="00DD100F"/>
    <w:rsid w:val="00DD10BA"/>
    <w:rsid w:val="00DD2A3A"/>
    <w:rsid w:val="00DD399E"/>
    <w:rsid w:val="00DD3B2C"/>
    <w:rsid w:val="00DD49F6"/>
    <w:rsid w:val="00DD49F9"/>
    <w:rsid w:val="00DD579C"/>
    <w:rsid w:val="00DD57EA"/>
    <w:rsid w:val="00DD619A"/>
    <w:rsid w:val="00DD6585"/>
    <w:rsid w:val="00DE080A"/>
    <w:rsid w:val="00DE28AA"/>
    <w:rsid w:val="00DE2D17"/>
    <w:rsid w:val="00DE47B3"/>
    <w:rsid w:val="00DE4AD6"/>
    <w:rsid w:val="00DE4C84"/>
    <w:rsid w:val="00DE4FFC"/>
    <w:rsid w:val="00DE507C"/>
    <w:rsid w:val="00DE5865"/>
    <w:rsid w:val="00DE6C1C"/>
    <w:rsid w:val="00DE7D04"/>
    <w:rsid w:val="00DF081D"/>
    <w:rsid w:val="00DF0AAB"/>
    <w:rsid w:val="00DF12D7"/>
    <w:rsid w:val="00DF138A"/>
    <w:rsid w:val="00DF2023"/>
    <w:rsid w:val="00DF2B45"/>
    <w:rsid w:val="00DF2CBB"/>
    <w:rsid w:val="00DF341B"/>
    <w:rsid w:val="00DF3B5B"/>
    <w:rsid w:val="00DF405D"/>
    <w:rsid w:val="00DF6275"/>
    <w:rsid w:val="00DF6567"/>
    <w:rsid w:val="00DF6EBD"/>
    <w:rsid w:val="00DF71C8"/>
    <w:rsid w:val="00DF76EB"/>
    <w:rsid w:val="00DF7A02"/>
    <w:rsid w:val="00DF7C6D"/>
    <w:rsid w:val="00E00839"/>
    <w:rsid w:val="00E01528"/>
    <w:rsid w:val="00E0213D"/>
    <w:rsid w:val="00E04317"/>
    <w:rsid w:val="00E043ED"/>
    <w:rsid w:val="00E049BA"/>
    <w:rsid w:val="00E04FEC"/>
    <w:rsid w:val="00E0695F"/>
    <w:rsid w:val="00E10961"/>
    <w:rsid w:val="00E10A94"/>
    <w:rsid w:val="00E10DA6"/>
    <w:rsid w:val="00E1161A"/>
    <w:rsid w:val="00E134F2"/>
    <w:rsid w:val="00E13B23"/>
    <w:rsid w:val="00E13D5D"/>
    <w:rsid w:val="00E1411A"/>
    <w:rsid w:val="00E14E3A"/>
    <w:rsid w:val="00E15F22"/>
    <w:rsid w:val="00E16007"/>
    <w:rsid w:val="00E16886"/>
    <w:rsid w:val="00E16CD5"/>
    <w:rsid w:val="00E17518"/>
    <w:rsid w:val="00E200AF"/>
    <w:rsid w:val="00E20477"/>
    <w:rsid w:val="00E20C21"/>
    <w:rsid w:val="00E219C8"/>
    <w:rsid w:val="00E236DD"/>
    <w:rsid w:val="00E263F0"/>
    <w:rsid w:val="00E2678C"/>
    <w:rsid w:val="00E272C2"/>
    <w:rsid w:val="00E27A71"/>
    <w:rsid w:val="00E306EA"/>
    <w:rsid w:val="00E31AE0"/>
    <w:rsid w:val="00E32312"/>
    <w:rsid w:val="00E336EB"/>
    <w:rsid w:val="00E3662B"/>
    <w:rsid w:val="00E401D2"/>
    <w:rsid w:val="00E41391"/>
    <w:rsid w:val="00E4156B"/>
    <w:rsid w:val="00E420F3"/>
    <w:rsid w:val="00E42E3C"/>
    <w:rsid w:val="00E43012"/>
    <w:rsid w:val="00E445F6"/>
    <w:rsid w:val="00E44A79"/>
    <w:rsid w:val="00E44FFD"/>
    <w:rsid w:val="00E45229"/>
    <w:rsid w:val="00E47A50"/>
    <w:rsid w:val="00E47DC8"/>
    <w:rsid w:val="00E5039C"/>
    <w:rsid w:val="00E515BC"/>
    <w:rsid w:val="00E51C07"/>
    <w:rsid w:val="00E5218D"/>
    <w:rsid w:val="00E5368B"/>
    <w:rsid w:val="00E54255"/>
    <w:rsid w:val="00E54913"/>
    <w:rsid w:val="00E5497E"/>
    <w:rsid w:val="00E549D0"/>
    <w:rsid w:val="00E54CB6"/>
    <w:rsid w:val="00E55E89"/>
    <w:rsid w:val="00E562E9"/>
    <w:rsid w:val="00E56B7C"/>
    <w:rsid w:val="00E56CB4"/>
    <w:rsid w:val="00E579BA"/>
    <w:rsid w:val="00E6013A"/>
    <w:rsid w:val="00E61AEB"/>
    <w:rsid w:val="00E620F4"/>
    <w:rsid w:val="00E62C9D"/>
    <w:rsid w:val="00E65702"/>
    <w:rsid w:val="00E65EC3"/>
    <w:rsid w:val="00E65FA5"/>
    <w:rsid w:val="00E65FE6"/>
    <w:rsid w:val="00E66829"/>
    <w:rsid w:val="00E7106F"/>
    <w:rsid w:val="00E711DF"/>
    <w:rsid w:val="00E7152D"/>
    <w:rsid w:val="00E71AE3"/>
    <w:rsid w:val="00E71CA3"/>
    <w:rsid w:val="00E72BB1"/>
    <w:rsid w:val="00E72C52"/>
    <w:rsid w:val="00E72F11"/>
    <w:rsid w:val="00E73448"/>
    <w:rsid w:val="00E7391A"/>
    <w:rsid w:val="00E73A4D"/>
    <w:rsid w:val="00E7425D"/>
    <w:rsid w:val="00E74427"/>
    <w:rsid w:val="00E75EDD"/>
    <w:rsid w:val="00E762CD"/>
    <w:rsid w:val="00E76583"/>
    <w:rsid w:val="00E76C43"/>
    <w:rsid w:val="00E76C6E"/>
    <w:rsid w:val="00E77C4C"/>
    <w:rsid w:val="00E77FDD"/>
    <w:rsid w:val="00E80B91"/>
    <w:rsid w:val="00E828D0"/>
    <w:rsid w:val="00E8388E"/>
    <w:rsid w:val="00E83C96"/>
    <w:rsid w:val="00E87735"/>
    <w:rsid w:val="00E901BB"/>
    <w:rsid w:val="00E907F2"/>
    <w:rsid w:val="00E91409"/>
    <w:rsid w:val="00E9144C"/>
    <w:rsid w:val="00E91A3E"/>
    <w:rsid w:val="00E9218C"/>
    <w:rsid w:val="00E93691"/>
    <w:rsid w:val="00E94AB9"/>
    <w:rsid w:val="00E94F0D"/>
    <w:rsid w:val="00E95C81"/>
    <w:rsid w:val="00E95F24"/>
    <w:rsid w:val="00E96F5F"/>
    <w:rsid w:val="00E97492"/>
    <w:rsid w:val="00E979D5"/>
    <w:rsid w:val="00E97F21"/>
    <w:rsid w:val="00EA011C"/>
    <w:rsid w:val="00EA199E"/>
    <w:rsid w:val="00EA245F"/>
    <w:rsid w:val="00EA47C5"/>
    <w:rsid w:val="00EA556F"/>
    <w:rsid w:val="00EA5D7A"/>
    <w:rsid w:val="00EA717E"/>
    <w:rsid w:val="00EA7B76"/>
    <w:rsid w:val="00EB00A1"/>
    <w:rsid w:val="00EB2906"/>
    <w:rsid w:val="00EB2AA1"/>
    <w:rsid w:val="00EB36B4"/>
    <w:rsid w:val="00EB407E"/>
    <w:rsid w:val="00EB416C"/>
    <w:rsid w:val="00EB5750"/>
    <w:rsid w:val="00EB5BB6"/>
    <w:rsid w:val="00EB62FE"/>
    <w:rsid w:val="00EB6AAA"/>
    <w:rsid w:val="00EC0E29"/>
    <w:rsid w:val="00EC2250"/>
    <w:rsid w:val="00EC3831"/>
    <w:rsid w:val="00EC3E8A"/>
    <w:rsid w:val="00EC4018"/>
    <w:rsid w:val="00EC4AF7"/>
    <w:rsid w:val="00EC6633"/>
    <w:rsid w:val="00EC6FA8"/>
    <w:rsid w:val="00EC7F56"/>
    <w:rsid w:val="00ED0068"/>
    <w:rsid w:val="00ED1207"/>
    <w:rsid w:val="00ED16E4"/>
    <w:rsid w:val="00ED3A04"/>
    <w:rsid w:val="00ED41C5"/>
    <w:rsid w:val="00ED430E"/>
    <w:rsid w:val="00ED5AEA"/>
    <w:rsid w:val="00ED5D2E"/>
    <w:rsid w:val="00ED6E6A"/>
    <w:rsid w:val="00ED774F"/>
    <w:rsid w:val="00EE007A"/>
    <w:rsid w:val="00EE0AA7"/>
    <w:rsid w:val="00EE1CCC"/>
    <w:rsid w:val="00EE22D4"/>
    <w:rsid w:val="00EE36DF"/>
    <w:rsid w:val="00EE37F1"/>
    <w:rsid w:val="00EE3A66"/>
    <w:rsid w:val="00EE3B18"/>
    <w:rsid w:val="00EE44EE"/>
    <w:rsid w:val="00EE47B8"/>
    <w:rsid w:val="00EE4CDF"/>
    <w:rsid w:val="00EE4FEA"/>
    <w:rsid w:val="00EE7112"/>
    <w:rsid w:val="00EE7CD1"/>
    <w:rsid w:val="00EF10D6"/>
    <w:rsid w:val="00EF2866"/>
    <w:rsid w:val="00EF327A"/>
    <w:rsid w:val="00EF3550"/>
    <w:rsid w:val="00EF3B7E"/>
    <w:rsid w:val="00EF3DF0"/>
    <w:rsid w:val="00EF44AB"/>
    <w:rsid w:val="00EF472C"/>
    <w:rsid w:val="00EF48BD"/>
    <w:rsid w:val="00EF5973"/>
    <w:rsid w:val="00EF5B80"/>
    <w:rsid w:val="00EF5C44"/>
    <w:rsid w:val="00EF7122"/>
    <w:rsid w:val="00EF7421"/>
    <w:rsid w:val="00EF7523"/>
    <w:rsid w:val="00EF7804"/>
    <w:rsid w:val="00EF786D"/>
    <w:rsid w:val="00EF7C2C"/>
    <w:rsid w:val="00F0266D"/>
    <w:rsid w:val="00F02D82"/>
    <w:rsid w:val="00F02FFD"/>
    <w:rsid w:val="00F045A5"/>
    <w:rsid w:val="00F0581A"/>
    <w:rsid w:val="00F06B34"/>
    <w:rsid w:val="00F0730A"/>
    <w:rsid w:val="00F07CFC"/>
    <w:rsid w:val="00F10055"/>
    <w:rsid w:val="00F152AE"/>
    <w:rsid w:val="00F153D1"/>
    <w:rsid w:val="00F16C58"/>
    <w:rsid w:val="00F21166"/>
    <w:rsid w:val="00F222D3"/>
    <w:rsid w:val="00F23E23"/>
    <w:rsid w:val="00F24293"/>
    <w:rsid w:val="00F24529"/>
    <w:rsid w:val="00F24602"/>
    <w:rsid w:val="00F25295"/>
    <w:rsid w:val="00F26307"/>
    <w:rsid w:val="00F26FBB"/>
    <w:rsid w:val="00F273F6"/>
    <w:rsid w:val="00F27D5A"/>
    <w:rsid w:val="00F31139"/>
    <w:rsid w:val="00F31F75"/>
    <w:rsid w:val="00F325B1"/>
    <w:rsid w:val="00F33010"/>
    <w:rsid w:val="00F33198"/>
    <w:rsid w:val="00F33874"/>
    <w:rsid w:val="00F344BF"/>
    <w:rsid w:val="00F34857"/>
    <w:rsid w:val="00F34C8F"/>
    <w:rsid w:val="00F35044"/>
    <w:rsid w:val="00F353A6"/>
    <w:rsid w:val="00F35881"/>
    <w:rsid w:val="00F35A5B"/>
    <w:rsid w:val="00F37A1E"/>
    <w:rsid w:val="00F4071A"/>
    <w:rsid w:val="00F40DBC"/>
    <w:rsid w:val="00F4124D"/>
    <w:rsid w:val="00F41F01"/>
    <w:rsid w:val="00F43977"/>
    <w:rsid w:val="00F43C57"/>
    <w:rsid w:val="00F44A8E"/>
    <w:rsid w:val="00F45939"/>
    <w:rsid w:val="00F45E29"/>
    <w:rsid w:val="00F474E0"/>
    <w:rsid w:val="00F5101A"/>
    <w:rsid w:val="00F51FAD"/>
    <w:rsid w:val="00F5270A"/>
    <w:rsid w:val="00F52A24"/>
    <w:rsid w:val="00F52DB8"/>
    <w:rsid w:val="00F5453D"/>
    <w:rsid w:val="00F547E8"/>
    <w:rsid w:val="00F56CDD"/>
    <w:rsid w:val="00F600AE"/>
    <w:rsid w:val="00F6017C"/>
    <w:rsid w:val="00F60DD4"/>
    <w:rsid w:val="00F60E55"/>
    <w:rsid w:val="00F60F22"/>
    <w:rsid w:val="00F618CC"/>
    <w:rsid w:val="00F61B4E"/>
    <w:rsid w:val="00F61C58"/>
    <w:rsid w:val="00F63529"/>
    <w:rsid w:val="00F63DD9"/>
    <w:rsid w:val="00F7048F"/>
    <w:rsid w:val="00F70C15"/>
    <w:rsid w:val="00F70D0E"/>
    <w:rsid w:val="00F71527"/>
    <w:rsid w:val="00F725EF"/>
    <w:rsid w:val="00F73787"/>
    <w:rsid w:val="00F739A9"/>
    <w:rsid w:val="00F73ACC"/>
    <w:rsid w:val="00F7554D"/>
    <w:rsid w:val="00F75BE5"/>
    <w:rsid w:val="00F761B1"/>
    <w:rsid w:val="00F7762A"/>
    <w:rsid w:val="00F80D78"/>
    <w:rsid w:val="00F8157C"/>
    <w:rsid w:val="00F81E5B"/>
    <w:rsid w:val="00F843EB"/>
    <w:rsid w:val="00F8506D"/>
    <w:rsid w:val="00F8556F"/>
    <w:rsid w:val="00F85FA8"/>
    <w:rsid w:val="00F8657F"/>
    <w:rsid w:val="00F86815"/>
    <w:rsid w:val="00F86B59"/>
    <w:rsid w:val="00F86BA5"/>
    <w:rsid w:val="00F90F53"/>
    <w:rsid w:val="00F91278"/>
    <w:rsid w:val="00F926F1"/>
    <w:rsid w:val="00F92993"/>
    <w:rsid w:val="00F92EA8"/>
    <w:rsid w:val="00F93369"/>
    <w:rsid w:val="00F94D0C"/>
    <w:rsid w:val="00F95C68"/>
    <w:rsid w:val="00F95E65"/>
    <w:rsid w:val="00F963CF"/>
    <w:rsid w:val="00F9756F"/>
    <w:rsid w:val="00F97B9C"/>
    <w:rsid w:val="00FA035F"/>
    <w:rsid w:val="00FA0906"/>
    <w:rsid w:val="00FA10C5"/>
    <w:rsid w:val="00FA225D"/>
    <w:rsid w:val="00FA39D5"/>
    <w:rsid w:val="00FA3A2E"/>
    <w:rsid w:val="00FA42AD"/>
    <w:rsid w:val="00FA4651"/>
    <w:rsid w:val="00FA5AFF"/>
    <w:rsid w:val="00FA6989"/>
    <w:rsid w:val="00FB0BF3"/>
    <w:rsid w:val="00FB15C2"/>
    <w:rsid w:val="00FB2D74"/>
    <w:rsid w:val="00FB307C"/>
    <w:rsid w:val="00FB45D0"/>
    <w:rsid w:val="00FB5507"/>
    <w:rsid w:val="00FB5BF0"/>
    <w:rsid w:val="00FB6031"/>
    <w:rsid w:val="00FB7BE3"/>
    <w:rsid w:val="00FC077E"/>
    <w:rsid w:val="00FC0DA8"/>
    <w:rsid w:val="00FC1508"/>
    <w:rsid w:val="00FC1A14"/>
    <w:rsid w:val="00FC2C17"/>
    <w:rsid w:val="00FC33B5"/>
    <w:rsid w:val="00FC72E9"/>
    <w:rsid w:val="00FD17DB"/>
    <w:rsid w:val="00FD2D1F"/>
    <w:rsid w:val="00FD38CD"/>
    <w:rsid w:val="00FD3A31"/>
    <w:rsid w:val="00FD3F6A"/>
    <w:rsid w:val="00FD3FEC"/>
    <w:rsid w:val="00FD4746"/>
    <w:rsid w:val="00FD5C28"/>
    <w:rsid w:val="00FD60AE"/>
    <w:rsid w:val="00FD6C0E"/>
    <w:rsid w:val="00FD6DD0"/>
    <w:rsid w:val="00FD7857"/>
    <w:rsid w:val="00FE08A0"/>
    <w:rsid w:val="00FE1A3B"/>
    <w:rsid w:val="00FE1A3E"/>
    <w:rsid w:val="00FE2F51"/>
    <w:rsid w:val="00FE3619"/>
    <w:rsid w:val="00FE3DB8"/>
    <w:rsid w:val="00FE4024"/>
    <w:rsid w:val="00FE423B"/>
    <w:rsid w:val="00FE46B3"/>
    <w:rsid w:val="00FE48FC"/>
    <w:rsid w:val="00FE565F"/>
    <w:rsid w:val="00FE640A"/>
    <w:rsid w:val="00FE7B9C"/>
    <w:rsid w:val="00FE7BFD"/>
    <w:rsid w:val="00FE7FF6"/>
    <w:rsid w:val="00FF06C0"/>
    <w:rsid w:val="00FF0DE4"/>
    <w:rsid w:val="00FF143C"/>
    <w:rsid w:val="00FF1767"/>
    <w:rsid w:val="00FF20F3"/>
    <w:rsid w:val="00FF3E1E"/>
    <w:rsid w:val="00FF3E21"/>
    <w:rsid w:val="00FF4908"/>
    <w:rsid w:val="00FF4B3D"/>
    <w:rsid w:val="00FF65DC"/>
    <w:rsid w:val="00FF6799"/>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24D66"/>
  <w15:docId w15:val="{40A472DB-3B3B-4170-8E35-47948F58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Pr>
      <w:rFonts w:ascii="Consolas" w:hAnsi="Consolas" w:cs="Times New Roman"/>
      <w:sz w:val="21"/>
      <w:szCs w:val="21"/>
      <w:lang w:val="en-US" w:eastAsia="en-US" w:bidi="ar-SA"/>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pPr>
      <w:spacing w:after="0" w:line="240" w:lineRule="auto"/>
      <w:ind w:right="432"/>
    </w:pPr>
    <w:rPr>
      <w:sz w:val="20"/>
      <w:szCs w:val="20"/>
    </w:rPr>
  </w:style>
  <w:style w:type="character" w:customStyle="1" w:styleId="CommentTextChar">
    <w:name w:val="Comment Text Char"/>
    <w:basedOn w:val="DefaultParagraphFont"/>
    <w:link w:val="CommentText"/>
    <w:uiPriority w:val="99"/>
    <w:locked/>
    <w:rPr>
      <w:rFonts w:ascii="Calibri" w:hAnsi="Calibri" w:cs="Times New Roman"/>
      <w:lang w:val="en-US" w:eastAsia="en-US" w:bidi="ar-SA"/>
    </w:rPr>
  </w:style>
  <w:style w:type="paragraph" w:styleId="NoSpacing">
    <w:name w:val="No Spacing"/>
    <w:link w:val="NoSpacingChar"/>
    <w:uiPriority w:val="99"/>
    <w:qFormat/>
    <w:pPr>
      <w:jc w:val="both"/>
    </w:pPr>
  </w:style>
  <w:style w:type="character" w:customStyle="1" w:styleId="NoSpacingChar">
    <w:name w:val="No Spacing Char"/>
    <w:basedOn w:val="DefaultParagraphFont"/>
    <w:link w:val="NoSpacing"/>
    <w:uiPriority w:val="99"/>
    <w:locked/>
    <w:rPr>
      <w:rFonts w:cs="Times New Roman"/>
      <w:sz w:val="22"/>
      <w:szCs w:val="22"/>
      <w:lang w:val="en-US" w:eastAsia="en-US" w:bidi="ar-SA"/>
    </w:rPr>
  </w:style>
  <w:style w:type="character" w:styleId="SubtleEmphasis">
    <w:name w:val="Subtle Emphasis"/>
    <w:basedOn w:val="DefaultParagraphFont"/>
    <w:uiPriority w:val="19"/>
    <w:qFormat/>
    <w:rPr>
      <w:i/>
      <w:iCs/>
      <w:color w:val="808080" w:themeColor="text1" w:themeTint="7F"/>
    </w:rPr>
  </w:style>
  <w:style w:type="paragraph" w:styleId="CommentSubject">
    <w:name w:val="annotation subject"/>
    <w:basedOn w:val="CommentText"/>
    <w:next w:val="CommentText"/>
    <w:link w:val="CommentSubjectChar"/>
    <w:uiPriority w:val="99"/>
    <w:semiHidden/>
    <w:unhideWhenUsed/>
    <w:pPr>
      <w:spacing w:after="200"/>
      <w:ind w:right="0"/>
    </w:pPr>
    <w:rPr>
      <w:b/>
      <w:bCs/>
    </w:rPr>
  </w:style>
  <w:style w:type="character" w:customStyle="1" w:styleId="CommentSubjectChar">
    <w:name w:val="Comment Subject Char"/>
    <w:basedOn w:val="CommentTextChar"/>
    <w:link w:val="CommentSubject"/>
    <w:uiPriority w:val="99"/>
    <w:semiHidden/>
    <w:rPr>
      <w:rFonts w:ascii="Calibri" w:hAnsi="Calibri" w:cs="Times New Roman"/>
      <w:b/>
      <w:bCs/>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5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1DEDBB00-DB20-4574-8852-955E43709EC0}">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5586</Words>
  <Characters>31846</Characters>
  <Application>Microsoft Office Word</Application>
  <DocSecurity>0</DocSecurity>
  <Lines>265</Lines>
  <Paragraphs>74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Here is some text</vt:lpstr>
      <vt:lpstr>    CR-05 - Goals and Outcomes</vt:lpstr>
      <vt:lpstr>    CR-10 - Racial and Ethnic composition of families assisted</vt:lpstr>
      <vt:lpstr>    CR-15 - Resources and Investments 91.520(a)</vt:lpstr>
      <vt:lpstr>    CR-20 - Affordable Housing 91.520(b)</vt:lpstr>
      <vt:lpstr>    </vt:lpstr>
      <vt:lpstr>    CR-25 - Homeless and Other Special Needs 91.220(d, e); 91.320(d, e); 91.520(c)</vt:lpstr>
      <vt:lpstr>    CR-30 - Public Housing 91.220(h); 91.320(j)</vt:lpstr>
      <vt:lpstr>    CR-35 - Other Actions 91.220(j)-(k); 91.320(i)-(j)</vt:lpstr>
      <vt:lpstr>    CR-40 - Monitoring 91.220 and 91.230</vt:lpstr>
      <vt:lpstr>    CR-45 - CDBG 91.520(c)</vt:lpstr>
      <vt:lpstr>    CR-50 - HOME 24 CFR 91.520(d)</vt:lpstr>
      <vt:lpstr>    CR-55 - HOPWA 91.520(e)</vt:lpstr>
      <vt:lpstr>    CR-56 - HTF 91.520(h)</vt:lpstr>
      <vt:lpstr>    CR-58 – Section 3</vt:lpstr>
      <vt:lpstr>    CR-60 - ESG 91.520(g) (ESG Recipients only)</vt:lpstr>
      <vt:lpstr>    CR-65 - Persons Assisted</vt:lpstr>
      <vt:lpstr>    CR-70 – ESG 91.520(g) - Assistance Provided and Outcomes</vt:lpstr>
      <vt:lpstr>    CR-75 – Expenditures</vt:lpstr>
    </vt:vector>
  </TitlesOfParts>
  <Company>Microsoft</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Trombetti,Larry</cp:lastModifiedBy>
  <cp:revision>2</cp:revision>
  <dcterms:created xsi:type="dcterms:W3CDTF">2025-10-02T12:53:00Z</dcterms:created>
  <dcterms:modified xsi:type="dcterms:W3CDTF">2025-10-02T12:53:00Z</dcterms:modified>
</cp:coreProperties>
</file>